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51" w:rsidRPr="00B40F42" w:rsidRDefault="00F91B51" w:rsidP="00F91B51">
      <w:pPr>
        <w:pStyle w:val="Betarp"/>
        <w:jc w:val="both"/>
        <w:rPr>
          <w:rFonts w:ascii="Times New Roman" w:hAnsi="Times New Roman"/>
          <w:i/>
          <w:u w:val="single"/>
          <w:lang w:val="en-GB" w:eastAsia="en-GB"/>
        </w:rPr>
      </w:pPr>
      <w:proofErr w:type="gramStart"/>
      <w:r w:rsidRPr="00B40F42">
        <w:rPr>
          <w:rFonts w:ascii="Times New Roman" w:hAnsi="Times New Roman"/>
          <w:i/>
          <w:u w:val="single"/>
          <w:lang w:val="en-GB" w:eastAsia="en-GB"/>
        </w:rPr>
        <w:t>Table 3.</w:t>
      </w:r>
      <w:proofErr w:type="gramEnd"/>
      <w:r w:rsidRPr="00B40F42">
        <w:rPr>
          <w:rFonts w:ascii="Times New Roman" w:hAnsi="Times New Roman"/>
          <w:i/>
          <w:u w:val="single"/>
          <w:lang w:val="en-GB" w:eastAsia="en-GB"/>
        </w:rPr>
        <w:t xml:space="preserve"> The results (thousands Euros) of the </w:t>
      </w:r>
      <w:r>
        <w:rPr>
          <w:rFonts w:ascii="Times New Roman" w:hAnsi="Times New Roman"/>
          <w:i/>
          <w:u w:val="single"/>
          <w:lang w:val="en-GB" w:eastAsia="en-GB"/>
        </w:rPr>
        <w:t>C</w:t>
      </w:r>
      <w:r w:rsidRPr="00B40F42">
        <w:rPr>
          <w:rFonts w:ascii="Times New Roman" w:hAnsi="Times New Roman"/>
          <w:i/>
          <w:u w:val="single"/>
          <w:lang w:val="en-GB" w:eastAsia="en-GB"/>
        </w:rPr>
        <w:t xml:space="preserve">ompany and the Group of </w:t>
      </w:r>
      <w:proofErr w:type="spellStart"/>
      <w:r w:rsidRPr="00B40F42">
        <w:rPr>
          <w:rFonts w:ascii="Times New Roman" w:hAnsi="Times New Roman"/>
          <w:i/>
          <w:u w:val="single"/>
          <w:lang w:val="en-GB" w:eastAsia="en-GB"/>
        </w:rPr>
        <w:t>Panevezio</w:t>
      </w:r>
      <w:proofErr w:type="spellEnd"/>
      <w:r w:rsidRPr="00B40F42">
        <w:rPr>
          <w:rFonts w:ascii="Times New Roman" w:hAnsi="Times New Roman"/>
          <w:i/>
          <w:u w:val="single"/>
          <w:lang w:val="en-GB" w:eastAsia="en-GB"/>
        </w:rPr>
        <w:t xml:space="preserve"> </w:t>
      </w:r>
      <w:proofErr w:type="spellStart"/>
      <w:r w:rsidRPr="00B40F42">
        <w:rPr>
          <w:rFonts w:ascii="Times New Roman" w:hAnsi="Times New Roman"/>
          <w:i/>
          <w:u w:val="single"/>
          <w:lang w:val="en-GB" w:eastAsia="en-GB"/>
        </w:rPr>
        <w:t>statybos</w:t>
      </w:r>
      <w:proofErr w:type="spellEnd"/>
      <w:r w:rsidRPr="00B40F42">
        <w:rPr>
          <w:rFonts w:ascii="Times New Roman" w:hAnsi="Times New Roman"/>
          <w:i/>
          <w:u w:val="single"/>
          <w:lang w:val="en-GB" w:eastAsia="en-GB"/>
        </w:rPr>
        <w:t xml:space="preserve"> </w:t>
      </w:r>
      <w:proofErr w:type="spellStart"/>
      <w:r w:rsidRPr="00B40F42">
        <w:rPr>
          <w:rFonts w:ascii="Times New Roman" w:hAnsi="Times New Roman"/>
          <w:i/>
          <w:u w:val="single"/>
          <w:lang w:val="en-GB" w:eastAsia="en-GB"/>
        </w:rPr>
        <w:t>trestas</w:t>
      </w:r>
      <w:proofErr w:type="spellEnd"/>
      <w:r w:rsidRPr="00B40F42">
        <w:rPr>
          <w:rFonts w:ascii="Times New Roman" w:hAnsi="Times New Roman"/>
          <w:i/>
          <w:u w:val="single"/>
          <w:lang w:val="en-GB" w:eastAsia="en-GB"/>
        </w:rPr>
        <w:t xml:space="preserve"> AB for the period 201</w:t>
      </w:r>
      <w:r>
        <w:rPr>
          <w:rFonts w:ascii="Times New Roman" w:hAnsi="Times New Roman"/>
          <w:i/>
          <w:u w:val="single"/>
          <w:lang w:val="en-GB" w:eastAsia="en-GB"/>
        </w:rPr>
        <w:t>5</w:t>
      </w:r>
      <w:r w:rsidRPr="00B40F42">
        <w:rPr>
          <w:rFonts w:ascii="Times New Roman" w:hAnsi="Times New Roman"/>
          <w:i/>
          <w:u w:val="single"/>
          <w:lang w:val="en-GB" w:eastAsia="en-GB"/>
        </w:rPr>
        <w:t xml:space="preserve"> through 201</w:t>
      </w:r>
      <w:r>
        <w:rPr>
          <w:rFonts w:ascii="Times New Roman" w:hAnsi="Times New Roman"/>
          <w:i/>
          <w:u w:val="single"/>
          <w:lang w:val="en-GB" w:eastAsia="en-GB"/>
        </w:rPr>
        <w:t>7:</w:t>
      </w:r>
      <w:r w:rsidRPr="00B40F42">
        <w:rPr>
          <w:rFonts w:ascii="Times New Roman" w:hAnsi="Times New Roman"/>
          <w:i/>
          <w:u w:val="single"/>
          <w:lang w:val="en-GB" w:eastAsia="en-GB"/>
        </w:rPr>
        <w:t xml:space="preserve"> </w:t>
      </w:r>
    </w:p>
    <w:p w:rsidR="00F91B51" w:rsidRPr="006C7F97" w:rsidRDefault="00F91B51" w:rsidP="00F91B51">
      <w:pPr>
        <w:pStyle w:val="Betarp"/>
        <w:jc w:val="both"/>
        <w:rPr>
          <w:rFonts w:ascii="Times New Roman" w:hAnsi="Times New Roman"/>
          <w:i/>
          <w:lang w:val="en-GB" w:eastAsia="en-GB"/>
        </w:rPr>
      </w:pPr>
    </w:p>
    <w:tbl>
      <w:tblPr>
        <w:tblW w:w="9360" w:type="dxa"/>
        <w:tblInd w:w="93" w:type="dxa"/>
        <w:tblLook w:val="04A0" w:firstRow="1" w:lastRow="0" w:firstColumn="1" w:lastColumn="0" w:noHBand="0" w:noVBand="1"/>
      </w:tblPr>
      <w:tblGrid>
        <w:gridCol w:w="1092"/>
        <w:gridCol w:w="1092"/>
        <w:gridCol w:w="1092"/>
        <w:gridCol w:w="2964"/>
        <w:gridCol w:w="1040"/>
        <w:gridCol w:w="1040"/>
        <w:gridCol w:w="1040"/>
      </w:tblGrid>
      <w:tr w:rsidR="00F91B51" w:rsidRPr="006C7F97" w:rsidTr="00BB49EB">
        <w:trPr>
          <w:trHeight w:val="285"/>
          <w:tblHeader/>
        </w:trPr>
        <w:tc>
          <w:tcPr>
            <w:tcW w:w="3276" w:type="dxa"/>
            <w:gridSpan w:val="3"/>
            <w:tcBorders>
              <w:top w:val="single" w:sz="4" w:space="0" w:color="auto"/>
              <w:left w:val="single" w:sz="4" w:space="0" w:color="auto"/>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Group</w:t>
            </w:r>
          </w:p>
        </w:tc>
        <w:tc>
          <w:tcPr>
            <w:tcW w:w="2964"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Items</w:t>
            </w:r>
          </w:p>
        </w:tc>
        <w:tc>
          <w:tcPr>
            <w:tcW w:w="3120" w:type="dxa"/>
            <w:gridSpan w:val="3"/>
            <w:tcBorders>
              <w:top w:val="single" w:sz="4" w:space="0" w:color="auto"/>
              <w:left w:val="nil"/>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Company</w:t>
            </w:r>
          </w:p>
        </w:tc>
      </w:tr>
      <w:tr w:rsidR="00F91B51" w:rsidRPr="006C7F97" w:rsidTr="00BB49EB">
        <w:trPr>
          <w:trHeight w:val="285"/>
          <w:tblHeader/>
        </w:trPr>
        <w:tc>
          <w:tcPr>
            <w:tcW w:w="1092" w:type="dxa"/>
            <w:tcBorders>
              <w:top w:val="nil"/>
              <w:left w:val="single" w:sz="4" w:space="0" w:color="auto"/>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2015</w:t>
            </w:r>
          </w:p>
        </w:tc>
        <w:tc>
          <w:tcPr>
            <w:tcW w:w="1092" w:type="dxa"/>
            <w:tcBorders>
              <w:top w:val="nil"/>
              <w:left w:val="nil"/>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2016</w:t>
            </w:r>
          </w:p>
        </w:tc>
        <w:tc>
          <w:tcPr>
            <w:tcW w:w="1092" w:type="dxa"/>
            <w:tcBorders>
              <w:top w:val="nil"/>
              <w:left w:val="nil"/>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201</w:t>
            </w:r>
            <w:r>
              <w:rPr>
                <w:b/>
                <w:bCs/>
                <w:i/>
                <w:sz w:val="20"/>
                <w:lang w:val="en-GB" w:eastAsia="lt-LT"/>
              </w:rPr>
              <w:t>7</w:t>
            </w:r>
          </w:p>
        </w:tc>
        <w:tc>
          <w:tcPr>
            <w:tcW w:w="2964" w:type="dxa"/>
            <w:vMerge/>
            <w:tcBorders>
              <w:top w:val="single" w:sz="4" w:space="0" w:color="auto"/>
              <w:left w:val="single" w:sz="4" w:space="0" w:color="auto"/>
              <w:bottom w:val="single" w:sz="4" w:space="0" w:color="auto"/>
              <w:right w:val="single" w:sz="4" w:space="0" w:color="auto"/>
            </w:tcBorders>
            <w:vAlign w:val="center"/>
            <w:hideMark/>
          </w:tcPr>
          <w:p w:rsidR="00F91B51" w:rsidRPr="006C7F97" w:rsidRDefault="00F91B51" w:rsidP="00BB49EB">
            <w:pPr>
              <w:rPr>
                <w:b/>
                <w:bCs/>
                <w:i/>
                <w:sz w:val="20"/>
                <w:lang w:val="en-GB" w:eastAsia="lt-LT"/>
              </w:rPr>
            </w:pPr>
          </w:p>
        </w:tc>
        <w:tc>
          <w:tcPr>
            <w:tcW w:w="1040" w:type="dxa"/>
            <w:tcBorders>
              <w:top w:val="nil"/>
              <w:left w:val="nil"/>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2015</w:t>
            </w:r>
          </w:p>
        </w:tc>
        <w:tc>
          <w:tcPr>
            <w:tcW w:w="1040" w:type="dxa"/>
            <w:tcBorders>
              <w:top w:val="nil"/>
              <w:left w:val="nil"/>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2016</w:t>
            </w:r>
          </w:p>
        </w:tc>
        <w:tc>
          <w:tcPr>
            <w:tcW w:w="1040" w:type="dxa"/>
            <w:tcBorders>
              <w:top w:val="nil"/>
              <w:left w:val="nil"/>
              <w:bottom w:val="single" w:sz="4" w:space="0" w:color="auto"/>
              <w:right w:val="single" w:sz="4" w:space="0" w:color="auto"/>
            </w:tcBorders>
            <w:shd w:val="clear" w:color="000000" w:fill="DAEEF3"/>
            <w:vAlign w:val="center"/>
            <w:hideMark/>
          </w:tcPr>
          <w:p w:rsidR="00F91B51" w:rsidRPr="006C7F97" w:rsidRDefault="00F91B51" w:rsidP="00BB49EB">
            <w:pPr>
              <w:jc w:val="center"/>
              <w:rPr>
                <w:b/>
                <w:bCs/>
                <w:i/>
                <w:sz w:val="20"/>
                <w:lang w:val="en-GB" w:eastAsia="lt-LT"/>
              </w:rPr>
            </w:pPr>
            <w:r w:rsidRPr="006C7F97">
              <w:rPr>
                <w:b/>
                <w:bCs/>
                <w:i/>
                <w:sz w:val="20"/>
                <w:lang w:val="en-GB" w:eastAsia="lt-LT"/>
              </w:rPr>
              <w:t>201</w:t>
            </w:r>
            <w:r>
              <w:rPr>
                <w:b/>
                <w:bCs/>
                <w:i/>
                <w:sz w:val="20"/>
                <w:lang w:val="en-GB" w:eastAsia="lt-LT"/>
              </w:rPr>
              <w:t>7</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121,217</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99,361</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73,816</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Income</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77,438</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83,910</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56,351</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109,278</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90,221</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68,085</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Cost</w:t>
            </w:r>
            <w:r>
              <w:rPr>
                <w:i/>
                <w:iCs/>
                <w:sz w:val="20"/>
                <w:lang w:val="en-GB"/>
              </w:rPr>
              <w:t xml:space="preserve"> of sales</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70,226</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77,031</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52,277</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11,939</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9,140</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5,731</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Gross profit</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7,212</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6,879</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4,074</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9.85</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9.20</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7.76</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Gross profit margin (per cents)</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9.31</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8.20</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7.23</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3,155</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1,085</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-1,281</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 xml:space="preserve">Typical operating result </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1,619</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1,813</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-809</w:t>
            </w:r>
          </w:p>
        </w:tc>
      </w:tr>
      <w:tr w:rsidR="00F91B51" w:rsidRPr="006C7F97" w:rsidTr="00BB49EB">
        <w:trPr>
          <w:trHeight w:val="624"/>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2.60</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1.09</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-1.73</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 xml:space="preserve">Typical operating result from turnover (per cent) </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2.09</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2.16</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-1.44</w:t>
            </w:r>
          </w:p>
        </w:tc>
      </w:tr>
      <w:tr w:rsidR="00F91B51" w:rsidRPr="006C7F97" w:rsidTr="00BB49EB">
        <w:trPr>
          <w:trHeight w:val="796"/>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4,260</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4.970</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2,148</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 xml:space="preserve">Profit before taxes, interest, depreciation and amortization </w:t>
            </w:r>
            <w:r w:rsidRPr="006C7F97">
              <w:rPr>
                <w:bCs/>
                <w:i/>
                <w:iCs/>
                <w:sz w:val="20"/>
                <w:lang w:val="en-GB"/>
              </w:rPr>
              <w:t>EBITDA</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1,590</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3,046</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1,286</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3.51</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5.00</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2.91</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EBITDA margin (per cents)</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2.06</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3.63</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2.28</w:t>
            </w:r>
          </w:p>
        </w:tc>
      </w:tr>
      <w:tr w:rsidR="00F91B51" w:rsidRPr="006C7F97" w:rsidTr="00BB49EB">
        <w:trPr>
          <w:trHeight w:val="41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1,996</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3,167</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753</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Net profit</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328</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1,791</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194</w:t>
            </w:r>
          </w:p>
        </w:tc>
      </w:tr>
      <w:tr w:rsidR="00F91B51" w:rsidRPr="006C7F97" w:rsidTr="00BB49EB">
        <w:trPr>
          <w:trHeight w:val="624"/>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1.65</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3.19</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1.02</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Nets profit (loss) margin (per cents)</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0.42</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2.13</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0.35</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0.12</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0.194</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0.046</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Profit (loss) per share (Euros)</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0.02</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0.11</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0.012</w:t>
            </w:r>
          </w:p>
        </w:tc>
      </w:tr>
      <w:tr w:rsidR="00F91B51" w:rsidRPr="006C7F97" w:rsidTr="00BB49EB">
        <w:trPr>
          <w:trHeight w:val="1002"/>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5.52</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8.61</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2.01</w:t>
            </w:r>
          </w:p>
        </w:tc>
        <w:tc>
          <w:tcPr>
            <w:tcW w:w="2964" w:type="dxa"/>
            <w:tcBorders>
              <w:top w:val="nil"/>
              <w:left w:val="nil"/>
              <w:bottom w:val="single" w:sz="4" w:space="0" w:color="auto"/>
              <w:right w:val="single" w:sz="4" w:space="0" w:color="auto"/>
            </w:tcBorders>
            <w:shd w:val="clear" w:color="000000" w:fill="FFFFFF"/>
            <w:vAlign w:val="center"/>
          </w:tcPr>
          <w:p w:rsidR="00F91B51" w:rsidRPr="006C7F97" w:rsidRDefault="00F91B51" w:rsidP="00BB49EB">
            <w:pPr>
              <w:rPr>
                <w:b/>
                <w:bCs/>
                <w:i/>
                <w:iCs/>
                <w:sz w:val="20"/>
                <w:lang w:val="en-GB"/>
              </w:rPr>
            </w:pPr>
            <w:r w:rsidRPr="006C7F97">
              <w:rPr>
                <w:i/>
                <w:iCs/>
                <w:sz w:val="20"/>
                <w:lang w:val="en-GB"/>
              </w:rPr>
              <w:t xml:space="preserve">Return on equity (per cents) </w:t>
            </w:r>
            <w:r w:rsidRPr="006C7F97">
              <w:rPr>
                <w:bCs/>
                <w:i/>
                <w:iCs/>
                <w:sz w:val="20"/>
                <w:lang w:val="en-GB"/>
              </w:rPr>
              <w:t>(ROE)</w:t>
            </w:r>
          </w:p>
          <w:p w:rsidR="00F91B51" w:rsidRPr="006C7F97" w:rsidRDefault="00F91B51" w:rsidP="00BB49EB">
            <w:pPr>
              <w:rPr>
                <w:i/>
                <w:iCs/>
                <w:sz w:val="20"/>
                <w:lang w:val="en-GB"/>
              </w:rPr>
            </w:pPr>
            <w:r w:rsidRPr="006C7F97">
              <w:rPr>
                <w:iCs/>
                <w:sz w:val="20"/>
                <w:u w:val="single"/>
                <w:lang w:val="en-GB"/>
              </w:rPr>
              <w:t xml:space="preserve">Net profit   </w:t>
            </w:r>
            <w:r w:rsidRPr="006C7F97">
              <w:rPr>
                <w:iCs/>
                <w:sz w:val="20"/>
                <w:lang w:val="en-GB"/>
              </w:rPr>
              <w:t xml:space="preserve">         </w:t>
            </w:r>
            <w:r w:rsidRPr="006C7F97">
              <w:rPr>
                <w:iCs/>
                <w:sz w:val="20"/>
                <w:lang w:val="en-GB"/>
              </w:rPr>
              <w:br/>
              <w:t>Equity capital</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0.86</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4.51</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0.50</w:t>
            </w:r>
          </w:p>
        </w:tc>
      </w:tr>
      <w:tr w:rsidR="00F91B51" w:rsidRPr="006C7F97" w:rsidTr="00BB49EB">
        <w:trPr>
          <w:trHeight w:val="1021"/>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3.02</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5.1</w:t>
            </w:r>
            <w:r>
              <w:rPr>
                <w:sz w:val="20"/>
              </w:rPr>
              <w:t>7</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1.26</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bCs/>
                <w:i/>
                <w:iCs/>
                <w:sz w:val="20"/>
                <w:lang w:val="en-GB"/>
              </w:rPr>
            </w:pPr>
            <w:r w:rsidRPr="006C7F97">
              <w:rPr>
                <w:i/>
                <w:iCs/>
                <w:sz w:val="20"/>
                <w:lang w:val="en-GB"/>
              </w:rPr>
              <w:t xml:space="preserve">Return on assets or asset profitability </w:t>
            </w:r>
            <w:r w:rsidRPr="006C7F97">
              <w:rPr>
                <w:bCs/>
                <w:i/>
                <w:iCs/>
                <w:sz w:val="20"/>
                <w:lang w:val="en-GB"/>
              </w:rPr>
              <w:t>(ROA)</w:t>
            </w:r>
          </w:p>
          <w:p w:rsidR="00F91B51" w:rsidRPr="006C7F97" w:rsidRDefault="00F91B51" w:rsidP="00BB49EB">
            <w:pPr>
              <w:rPr>
                <w:i/>
                <w:iCs/>
                <w:sz w:val="20"/>
                <w:lang w:val="en-GB"/>
              </w:rPr>
            </w:pPr>
            <w:r w:rsidRPr="006C7F97">
              <w:rPr>
                <w:iCs/>
                <w:sz w:val="20"/>
                <w:u w:val="single"/>
                <w:lang w:val="en-GB"/>
              </w:rPr>
              <w:t xml:space="preserve">Net profit         </w:t>
            </w:r>
            <w:r w:rsidRPr="006C7F97">
              <w:rPr>
                <w:iCs/>
                <w:sz w:val="20"/>
                <w:u w:val="single"/>
                <w:lang w:val="en-GB"/>
              </w:rPr>
              <w:br/>
            </w:r>
            <w:r w:rsidRPr="006C7F97">
              <w:rPr>
                <w:iCs/>
                <w:sz w:val="20"/>
                <w:lang w:val="en-GB"/>
              </w:rPr>
              <w:t>Assets</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0.59</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3.</w:t>
            </w:r>
            <w:r>
              <w:rPr>
                <w:sz w:val="20"/>
              </w:rPr>
              <w:t>34</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0.35</w:t>
            </w:r>
          </w:p>
        </w:tc>
      </w:tr>
      <w:tr w:rsidR="00F91B51" w:rsidRPr="006C7F97" w:rsidTr="00BB49EB">
        <w:trPr>
          <w:trHeight w:val="851"/>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5.14</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8.06</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1.90</w:t>
            </w:r>
          </w:p>
        </w:tc>
        <w:tc>
          <w:tcPr>
            <w:tcW w:w="2964" w:type="dxa"/>
            <w:tcBorders>
              <w:top w:val="nil"/>
              <w:left w:val="nil"/>
              <w:bottom w:val="single" w:sz="4" w:space="0" w:color="auto"/>
              <w:right w:val="single" w:sz="4" w:space="0" w:color="auto"/>
            </w:tcBorders>
            <w:shd w:val="clear" w:color="000000" w:fill="FFFFFF"/>
            <w:vAlign w:val="center"/>
          </w:tcPr>
          <w:p w:rsidR="00F91B51" w:rsidRPr="006C7F97" w:rsidRDefault="00F91B51" w:rsidP="00BB49EB">
            <w:pPr>
              <w:rPr>
                <w:i/>
                <w:iCs/>
                <w:sz w:val="20"/>
                <w:lang w:val="en-GB"/>
              </w:rPr>
            </w:pPr>
            <w:r w:rsidRPr="006C7F97">
              <w:rPr>
                <w:i/>
                <w:iCs/>
                <w:sz w:val="20"/>
                <w:lang w:val="en-GB"/>
              </w:rPr>
              <w:t>Return on investments</w:t>
            </w:r>
            <w:r w:rsidRPr="006C7F97">
              <w:rPr>
                <w:bCs/>
                <w:i/>
                <w:iCs/>
                <w:sz w:val="20"/>
                <w:lang w:val="en-GB"/>
              </w:rPr>
              <w:t>(ROI)</w:t>
            </w:r>
            <w:r w:rsidRPr="006C7F97">
              <w:rPr>
                <w:b/>
                <w:bCs/>
                <w:i/>
                <w:iCs/>
                <w:sz w:val="20"/>
                <w:lang w:val="en-GB"/>
              </w:rPr>
              <w:br/>
            </w:r>
            <w:r w:rsidRPr="006C7F97">
              <w:rPr>
                <w:iCs/>
                <w:sz w:val="20"/>
                <w:u w:val="single"/>
                <w:lang w:val="en-GB"/>
              </w:rPr>
              <w:t xml:space="preserve">Net profit         </w:t>
            </w:r>
            <w:r w:rsidRPr="006C7F97">
              <w:rPr>
                <w:iCs/>
                <w:sz w:val="20"/>
                <w:u w:val="single"/>
                <w:lang w:val="en-GB"/>
              </w:rPr>
              <w:br/>
            </w:r>
            <w:r w:rsidRPr="006C7F97">
              <w:rPr>
                <w:iCs/>
                <w:sz w:val="20"/>
                <w:lang w:val="en-GB"/>
              </w:rPr>
              <w:t>Assets – Current debt</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0.84</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4.</w:t>
            </w:r>
            <w:r>
              <w:rPr>
                <w:sz w:val="20"/>
              </w:rPr>
              <w:t>43</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0.49</w:t>
            </w:r>
          </w:p>
        </w:tc>
      </w:tr>
      <w:tr w:rsidR="00F91B51" w:rsidRPr="006C7F97" w:rsidTr="00BB49EB">
        <w:trPr>
          <w:trHeight w:val="858"/>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2.11</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2.4</w:t>
            </w:r>
            <w:r>
              <w:rPr>
                <w:sz w:val="20"/>
              </w:rPr>
              <w:t>2</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2.55</w:t>
            </w:r>
          </w:p>
        </w:tc>
        <w:tc>
          <w:tcPr>
            <w:tcW w:w="2964" w:type="dxa"/>
            <w:tcBorders>
              <w:top w:val="nil"/>
              <w:left w:val="nil"/>
              <w:bottom w:val="single" w:sz="4" w:space="0" w:color="auto"/>
              <w:right w:val="single" w:sz="4" w:space="0" w:color="auto"/>
            </w:tcBorders>
            <w:shd w:val="clear" w:color="000000" w:fill="FFFFFF"/>
            <w:vAlign w:val="center"/>
          </w:tcPr>
          <w:p w:rsidR="00F91B51" w:rsidRPr="006C7F97" w:rsidRDefault="00F91B51" w:rsidP="00BB49EB">
            <w:pPr>
              <w:rPr>
                <w:i/>
                <w:iCs/>
                <w:sz w:val="20"/>
                <w:lang w:val="en-GB"/>
              </w:rPr>
            </w:pPr>
            <w:r w:rsidRPr="006C7F97">
              <w:rPr>
                <w:i/>
                <w:iCs/>
                <w:sz w:val="20"/>
                <w:lang w:val="en-GB"/>
              </w:rPr>
              <w:t>Current liquidity ratio</w:t>
            </w:r>
          </w:p>
          <w:p w:rsidR="00F91B51" w:rsidRPr="006C7F97" w:rsidRDefault="00F91B51" w:rsidP="00BB49EB">
            <w:pPr>
              <w:rPr>
                <w:i/>
                <w:iCs/>
                <w:sz w:val="20"/>
                <w:lang w:val="en-GB"/>
              </w:rPr>
            </w:pPr>
            <w:r w:rsidRPr="006C7F97">
              <w:rPr>
                <w:iCs/>
                <w:sz w:val="20"/>
                <w:u w:val="single"/>
                <w:lang w:val="en-GB"/>
              </w:rPr>
              <w:t>Current assets</w:t>
            </w:r>
            <w:r w:rsidRPr="006C7F97">
              <w:rPr>
                <w:iCs/>
                <w:sz w:val="20"/>
                <w:lang w:val="en-GB"/>
              </w:rPr>
              <w:t xml:space="preserve">         </w:t>
            </w:r>
            <w:r w:rsidRPr="006C7F97">
              <w:rPr>
                <w:iCs/>
                <w:sz w:val="20"/>
                <w:lang w:val="en-GB"/>
              </w:rPr>
              <w:br/>
              <w:t>Current liabilities</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2.59</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w:t>
            </w:r>
            <w:r>
              <w:rPr>
                <w:sz w:val="20"/>
              </w:rPr>
              <w:t>94</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2.36</w:t>
            </w:r>
          </w:p>
        </w:tc>
      </w:tr>
      <w:tr w:rsidR="00F91B51" w:rsidRPr="006C7F97" w:rsidTr="00BB49EB">
        <w:trPr>
          <w:trHeight w:val="851"/>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1.78</w:t>
            </w:r>
          </w:p>
        </w:tc>
        <w:tc>
          <w:tcPr>
            <w:tcW w:w="1092"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1.9</w:t>
            </w:r>
            <w:r>
              <w:rPr>
                <w:sz w:val="20"/>
              </w:rPr>
              <w:t>7</w:t>
            </w:r>
          </w:p>
        </w:tc>
        <w:tc>
          <w:tcPr>
            <w:tcW w:w="1092"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2.01</w:t>
            </w:r>
          </w:p>
        </w:tc>
        <w:tc>
          <w:tcPr>
            <w:tcW w:w="2964" w:type="dxa"/>
            <w:tcBorders>
              <w:top w:val="single" w:sz="4" w:space="0" w:color="auto"/>
              <w:left w:val="nil"/>
              <w:bottom w:val="single" w:sz="4" w:space="0" w:color="auto"/>
              <w:right w:val="single" w:sz="4" w:space="0" w:color="auto"/>
            </w:tcBorders>
            <w:shd w:val="clear" w:color="000000" w:fill="FFFFFF"/>
            <w:vAlign w:val="center"/>
          </w:tcPr>
          <w:p w:rsidR="00F91B51" w:rsidRPr="006C7F97" w:rsidRDefault="00F91B51" w:rsidP="00BB49EB">
            <w:pPr>
              <w:rPr>
                <w:i/>
                <w:iCs/>
                <w:sz w:val="20"/>
                <w:lang w:val="en-GB"/>
              </w:rPr>
            </w:pPr>
            <w:r w:rsidRPr="006C7F97">
              <w:rPr>
                <w:i/>
                <w:iCs/>
                <w:sz w:val="20"/>
                <w:lang w:val="en-GB"/>
              </w:rPr>
              <w:t>Critical liquidity ratio</w:t>
            </w:r>
          </w:p>
          <w:p w:rsidR="00F91B51" w:rsidRPr="006C7F97" w:rsidRDefault="00F91B51" w:rsidP="00BB49EB">
            <w:pPr>
              <w:rPr>
                <w:i/>
                <w:iCs/>
                <w:sz w:val="20"/>
                <w:lang w:val="en-GB"/>
              </w:rPr>
            </w:pPr>
            <w:r w:rsidRPr="006C7F97">
              <w:rPr>
                <w:iCs/>
                <w:sz w:val="20"/>
                <w:u w:val="single"/>
                <w:lang w:val="en-GB"/>
              </w:rPr>
              <w:t>Current assets - Inventories</w:t>
            </w:r>
            <w:r w:rsidRPr="006C7F97">
              <w:rPr>
                <w:iCs/>
                <w:sz w:val="20"/>
                <w:lang w:val="en-GB"/>
              </w:rPr>
              <w:t xml:space="preserve">         </w:t>
            </w:r>
            <w:r w:rsidRPr="006C7F97">
              <w:rPr>
                <w:iCs/>
                <w:sz w:val="20"/>
                <w:lang w:val="en-GB"/>
              </w:rPr>
              <w:br/>
              <w:t>Current liabilities</w:t>
            </w:r>
          </w:p>
        </w:tc>
        <w:tc>
          <w:tcPr>
            <w:tcW w:w="1040"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2.52</w:t>
            </w:r>
          </w:p>
        </w:tc>
        <w:tc>
          <w:tcPr>
            <w:tcW w:w="1040"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w:t>
            </w:r>
            <w:r>
              <w:rPr>
                <w:sz w:val="20"/>
              </w:rPr>
              <w:t>88</w:t>
            </w:r>
          </w:p>
        </w:tc>
        <w:tc>
          <w:tcPr>
            <w:tcW w:w="1040"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rPr>
                <w:sz w:val="20"/>
              </w:rPr>
            </w:pPr>
            <w:r>
              <w:rPr>
                <w:sz w:val="20"/>
              </w:rPr>
              <w:t>2.27</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0.55</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0.60</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0.63</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Asset to equity ratio</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0.69</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0.74</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0.70</w:t>
            </w:r>
          </w:p>
        </w:tc>
      </w:tr>
      <w:tr w:rsidR="00F91B51" w:rsidRPr="006C7F97" w:rsidTr="00BB49EB">
        <w:trPr>
          <w:trHeight w:val="397"/>
        </w:trPr>
        <w:tc>
          <w:tcPr>
            <w:tcW w:w="1092" w:type="dxa"/>
            <w:tcBorders>
              <w:top w:val="nil"/>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2.21</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2.25</w:t>
            </w:r>
          </w:p>
        </w:tc>
        <w:tc>
          <w:tcPr>
            <w:tcW w:w="1092"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2.29</w:t>
            </w:r>
          </w:p>
        </w:tc>
        <w:tc>
          <w:tcPr>
            <w:tcW w:w="2964"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rPr>
                <w:i/>
                <w:iCs/>
                <w:sz w:val="20"/>
                <w:lang w:val="en-GB"/>
              </w:rPr>
            </w:pPr>
            <w:r w:rsidRPr="006C7F97">
              <w:rPr>
                <w:i/>
                <w:iCs/>
                <w:sz w:val="20"/>
                <w:lang w:val="en-GB"/>
              </w:rPr>
              <w:t>Book value per share</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2.34</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2.43</w:t>
            </w:r>
          </w:p>
        </w:tc>
        <w:tc>
          <w:tcPr>
            <w:tcW w:w="1040" w:type="dxa"/>
            <w:tcBorders>
              <w:top w:val="nil"/>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2.38</w:t>
            </w:r>
          </w:p>
        </w:tc>
      </w:tr>
      <w:tr w:rsidR="00F91B51" w:rsidRPr="006C7F97" w:rsidTr="00BB49EB">
        <w:trPr>
          <w:trHeight w:val="624"/>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0.42</w:t>
            </w:r>
          </w:p>
        </w:tc>
        <w:tc>
          <w:tcPr>
            <w:tcW w:w="1092"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0.42</w:t>
            </w:r>
          </w:p>
        </w:tc>
        <w:tc>
          <w:tcPr>
            <w:tcW w:w="1092"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0.40</w:t>
            </w:r>
          </w:p>
        </w:tc>
        <w:tc>
          <w:tcPr>
            <w:tcW w:w="2964" w:type="dxa"/>
            <w:tcBorders>
              <w:top w:val="single" w:sz="4" w:space="0" w:color="auto"/>
              <w:left w:val="nil"/>
              <w:bottom w:val="single" w:sz="4" w:space="0" w:color="auto"/>
              <w:right w:val="nil"/>
            </w:tcBorders>
            <w:shd w:val="clear" w:color="auto" w:fill="auto"/>
            <w:noWrap/>
            <w:vAlign w:val="center"/>
          </w:tcPr>
          <w:p w:rsidR="00F91B51" w:rsidRPr="006C7F97" w:rsidRDefault="00F91B51" w:rsidP="00BB49EB">
            <w:pPr>
              <w:rPr>
                <w:i/>
                <w:iCs/>
                <w:sz w:val="20"/>
                <w:lang w:val="en-GB"/>
              </w:rPr>
            </w:pPr>
            <w:r w:rsidRPr="006C7F97">
              <w:rPr>
                <w:i/>
                <w:iCs/>
                <w:sz w:val="20"/>
                <w:lang w:val="en-GB"/>
              </w:rPr>
              <w:t xml:space="preserve">Ratio of share price and book value </w:t>
            </w:r>
            <w:r w:rsidRPr="006C7F97">
              <w:rPr>
                <w:bCs/>
                <w:i/>
                <w:iCs/>
                <w:sz w:val="20"/>
                <w:lang w:val="en-GB"/>
              </w:rPr>
              <w:t>(P/BV)</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F91B51" w:rsidRPr="006C7F97" w:rsidRDefault="00F91B51" w:rsidP="00BB49EB">
            <w:pPr>
              <w:jc w:val="center"/>
              <w:rPr>
                <w:sz w:val="20"/>
                <w:lang w:val="en-GB"/>
              </w:rPr>
            </w:pPr>
            <w:r w:rsidRPr="006C7F97">
              <w:rPr>
                <w:sz w:val="20"/>
                <w:lang w:val="en-GB"/>
              </w:rPr>
              <w:t>0.40</w:t>
            </w:r>
          </w:p>
        </w:tc>
        <w:tc>
          <w:tcPr>
            <w:tcW w:w="1040"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sidRPr="006C7F97">
              <w:rPr>
                <w:sz w:val="20"/>
              </w:rPr>
              <w:t>0.39</w:t>
            </w:r>
          </w:p>
        </w:tc>
        <w:tc>
          <w:tcPr>
            <w:tcW w:w="1040" w:type="dxa"/>
            <w:tcBorders>
              <w:top w:val="single" w:sz="4" w:space="0" w:color="auto"/>
              <w:left w:val="nil"/>
              <w:bottom w:val="single" w:sz="4" w:space="0" w:color="auto"/>
              <w:right w:val="single" w:sz="4" w:space="0" w:color="auto"/>
            </w:tcBorders>
            <w:shd w:val="clear" w:color="auto" w:fill="auto"/>
            <w:vAlign w:val="center"/>
          </w:tcPr>
          <w:p w:rsidR="00F91B51" w:rsidRPr="006C7F97" w:rsidRDefault="00F91B51" w:rsidP="00BB49EB">
            <w:pPr>
              <w:jc w:val="center"/>
              <w:rPr>
                <w:sz w:val="20"/>
              </w:rPr>
            </w:pPr>
            <w:r>
              <w:rPr>
                <w:sz w:val="20"/>
              </w:rPr>
              <w:t>0.38</w:t>
            </w:r>
          </w:p>
        </w:tc>
      </w:tr>
    </w:tbl>
    <w:p w:rsidR="00F91B51" w:rsidRDefault="00F91B51" w:rsidP="00F91B51">
      <w:pPr>
        <w:pStyle w:val="Pagrindinistekstas"/>
        <w:spacing w:before="0" w:after="0"/>
        <w:rPr>
          <w:b/>
          <w:i/>
          <w:szCs w:val="22"/>
          <w:lang w:val="en-GB"/>
        </w:rPr>
      </w:pPr>
    </w:p>
    <w:p w:rsidR="0025684D" w:rsidRDefault="0025684D">
      <w:bookmarkStart w:id="0" w:name="_GoBack"/>
      <w:bookmarkEnd w:id="0"/>
    </w:p>
    <w:sectPr w:rsidR="002568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51"/>
    <w:rsid w:val="0025684D"/>
    <w:rsid w:val="00F91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1B51"/>
    <w:pPr>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bt,Normal + 14 pt,Body text,Diagrama,Body Text Char1 Char,Body Text Char Char Char,Body Text Char1 Char Char Char,Body Text Char Char Char Char Char,Body Text Char1 Char Char Char Char Char,Body Text Char Char Char Char Char Char Cha"/>
    <w:basedOn w:val="prastasis"/>
    <w:link w:val="PagrindinistekstasDiagrama"/>
    <w:rsid w:val="00F91B51"/>
    <w:pPr>
      <w:spacing w:before="130" w:after="130"/>
      <w:jc w:val="both"/>
    </w:pPr>
    <w:rPr>
      <w:lang w:val="en-US"/>
    </w:rPr>
  </w:style>
  <w:style w:type="character" w:customStyle="1" w:styleId="PagrindinistekstasDiagrama">
    <w:name w:val="Pagrindinis tekstas Diagrama"/>
    <w:aliases w:val="bt Diagrama,Normal + 14 pt Diagrama,Body text Diagrama,Diagrama Diagrama,Body Text Char1 Char Diagrama,Body Text Char Char Char Diagrama,Body Text Char1 Char Char Char Diagrama,Body Text Char Char Char Char Char Diagrama"/>
    <w:basedOn w:val="Numatytasispastraiposriftas"/>
    <w:link w:val="Pagrindinistekstas"/>
    <w:rsid w:val="00F91B51"/>
    <w:rPr>
      <w:rFonts w:ascii="Times New Roman" w:eastAsia="Times New Roman" w:hAnsi="Times New Roman" w:cs="Times New Roman"/>
      <w:szCs w:val="20"/>
      <w:lang w:val="en-US"/>
    </w:rPr>
  </w:style>
  <w:style w:type="paragraph" w:styleId="Betarp">
    <w:name w:val="No Spacing"/>
    <w:uiPriority w:val="1"/>
    <w:qFormat/>
    <w:rsid w:val="00F91B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1B51"/>
    <w:pPr>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bt,Normal + 14 pt,Body text,Diagrama,Body Text Char1 Char,Body Text Char Char Char,Body Text Char1 Char Char Char,Body Text Char Char Char Char Char,Body Text Char1 Char Char Char Char Char,Body Text Char Char Char Char Char Char Cha"/>
    <w:basedOn w:val="prastasis"/>
    <w:link w:val="PagrindinistekstasDiagrama"/>
    <w:rsid w:val="00F91B51"/>
    <w:pPr>
      <w:spacing w:before="130" w:after="130"/>
      <w:jc w:val="both"/>
    </w:pPr>
    <w:rPr>
      <w:lang w:val="en-US"/>
    </w:rPr>
  </w:style>
  <w:style w:type="character" w:customStyle="1" w:styleId="PagrindinistekstasDiagrama">
    <w:name w:val="Pagrindinis tekstas Diagrama"/>
    <w:aliases w:val="bt Diagrama,Normal + 14 pt Diagrama,Body text Diagrama,Diagrama Diagrama,Body Text Char1 Char Diagrama,Body Text Char Char Char Diagrama,Body Text Char1 Char Char Char Diagrama,Body Text Char Char Char Char Char Diagrama"/>
    <w:basedOn w:val="Numatytasispastraiposriftas"/>
    <w:link w:val="Pagrindinistekstas"/>
    <w:rsid w:val="00F91B51"/>
    <w:rPr>
      <w:rFonts w:ascii="Times New Roman" w:eastAsia="Times New Roman" w:hAnsi="Times New Roman" w:cs="Times New Roman"/>
      <w:szCs w:val="20"/>
      <w:lang w:val="en-US"/>
    </w:rPr>
  </w:style>
  <w:style w:type="paragraph" w:styleId="Betarp">
    <w:name w:val="No Spacing"/>
    <w:uiPriority w:val="1"/>
    <w:qFormat/>
    <w:rsid w:val="00F91B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Kairienė</dc:creator>
  <cp:lastModifiedBy>Rasa Kairienė</cp:lastModifiedBy>
  <cp:revision>1</cp:revision>
  <dcterms:created xsi:type="dcterms:W3CDTF">2018-11-07T13:11:00Z</dcterms:created>
  <dcterms:modified xsi:type="dcterms:W3CDTF">2018-11-07T13:12:00Z</dcterms:modified>
</cp:coreProperties>
</file>