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FE75" w14:textId="77777777" w:rsidR="008D68AB" w:rsidRDefault="008D68AB" w:rsidP="008D68AB">
      <w:pPr>
        <w:pStyle w:val="Betarp"/>
        <w:jc w:val="both"/>
        <w:rPr>
          <w:i/>
          <w:color w:val="0F243E"/>
          <w:u w:val="single"/>
          <w:lang w:val="en-GB" w:eastAsia="en-GB"/>
        </w:rPr>
      </w:pPr>
      <w:r>
        <w:rPr>
          <w:i/>
          <w:color w:val="0F243E"/>
          <w:u w:val="single"/>
          <w:lang w:val="en-GB" w:eastAsia="en-GB"/>
        </w:rPr>
        <w:t>Performance</w:t>
      </w:r>
      <w:r w:rsidRPr="009B771D">
        <w:rPr>
          <w:i/>
          <w:color w:val="0F243E"/>
          <w:u w:val="single"/>
          <w:lang w:val="en-GB" w:eastAsia="en-GB"/>
        </w:rPr>
        <w:t xml:space="preserve"> (</w:t>
      </w:r>
      <w:proofErr w:type="gramStart"/>
      <w:r w:rsidRPr="009B771D">
        <w:rPr>
          <w:i/>
          <w:color w:val="0F243E"/>
          <w:u w:val="single"/>
          <w:lang w:val="en-GB" w:eastAsia="en-GB"/>
        </w:rPr>
        <w:t>thousands</w:t>
      </w:r>
      <w:proofErr w:type="gramEnd"/>
      <w:r w:rsidRPr="009B771D">
        <w:rPr>
          <w:i/>
          <w:color w:val="0F243E"/>
          <w:u w:val="single"/>
          <w:lang w:val="en-GB" w:eastAsia="en-GB"/>
        </w:rPr>
        <w:t xml:space="preserve"> Euros) of the Company and the Group of </w:t>
      </w:r>
      <w:proofErr w:type="spellStart"/>
      <w:r w:rsidRPr="009B771D">
        <w:rPr>
          <w:i/>
          <w:color w:val="0F243E"/>
          <w:u w:val="single"/>
          <w:lang w:val="en-GB" w:eastAsia="en-GB"/>
        </w:rPr>
        <w:t>Panevezio</w:t>
      </w:r>
      <w:proofErr w:type="spellEnd"/>
      <w:r w:rsidRPr="009B771D">
        <w:rPr>
          <w:i/>
          <w:color w:val="0F243E"/>
          <w:u w:val="single"/>
          <w:lang w:val="en-GB" w:eastAsia="en-GB"/>
        </w:rPr>
        <w:t xml:space="preserve"> statybos trestas AB for the period 20</w:t>
      </w:r>
      <w:r>
        <w:rPr>
          <w:i/>
          <w:color w:val="0F243E"/>
          <w:u w:val="single"/>
          <w:lang w:val="en-GB" w:eastAsia="en-GB"/>
        </w:rPr>
        <w:t>20</w:t>
      </w:r>
      <w:r w:rsidRPr="009B771D">
        <w:rPr>
          <w:i/>
          <w:color w:val="0F243E"/>
          <w:u w:val="single"/>
          <w:lang w:val="en-GB" w:eastAsia="en-GB"/>
        </w:rPr>
        <w:t xml:space="preserve"> through 20</w:t>
      </w:r>
      <w:r>
        <w:rPr>
          <w:i/>
          <w:color w:val="0F243E"/>
          <w:u w:val="single"/>
          <w:lang w:val="en-GB" w:eastAsia="en-GB"/>
        </w:rPr>
        <w:t>22</w:t>
      </w:r>
      <w:r w:rsidRPr="009B771D">
        <w:rPr>
          <w:i/>
          <w:color w:val="0F243E"/>
          <w:u w:val="single"/>
          <w:lang w:val="en-GB" w:eastAsia="en-GB"/>
        </w:rPr>
        <w:t xml:space="preserve">: </w:t>
      </w:r>
    </w:p>
    <w:p w14:paraId="4167B18F" w14:textId="77777777" w:rsidR="008D68AB" w:rsidRPr="009B771D" w:rsidRDefault="008D68AB" w:rsidP="008D68AB">
      <w:pPr>
        <w:pStyle w:val="Betarp"/>
        <w:jc w:val="both"/>
        <w:rPr>
          <w:i/>
          <w:lang w:val="en-GB" w:eastAsia="en-GB"/>
        </w:rPr>
      </w:pPr>
    </w:p>
    <w:tbl>
      <w:tblPr>
        <w:tblW w:w="9360" w:type="dxa"/>
        <w:tblInd w:w="93" w:type="dxa"/>
        <w:tblLook w:val="04A0" w:firstRow="1" w:lastRow="0" w:firstColumn="1" w:lastColumn="0" w:noHBand="0" w:noVBand="1"/>
      </w:tblPr>
      <w:tblGrid>
        <w:gridCol w:w="1007"/>
        <w:gridCol w:w="1007"/>
        <w:gridCol w:w="1007"/>
        <w:gridCol w:w="3219"/>
        <w:gridCol w:w="1040"/>
        <w:gridCol w:w="1040"/>
        <w:gridCol w:w="1040"/>
      </w:tblGrid>
      <w:tr w:rsidR="008D68AB" w:rsidRPr="009B771D" w14:paraId="67904155" w14:textId="77777777" w:rsidTr="00B5156D">
        <w:trPr>
          <w:trHeight w:val="285"/>
          <w:tblHeader/>
        </w:trPr>
        <w:tc>
          <w:tcPr>
            <w:tcW w:w="3021" w:type="dxa"/>
            <w:gridSpan w:val="3"/>
            <w:tcBorders>
              <w:top w:val="single" w:sz="4" w:space="0" w:color="auto"/>
              <w:left w:val="single" w:sz="4" w:space="0" w:color="auto"/>
              <w:bottom w:val="single" w:sz="4" w:space="0" w:color="auto"/>
              <w:right w:val="single" w:sz="4" w:space="0" w:color="auto"/>
            </w:tcBorders>
            <w:shd w:val="clear" w:color="000000" w:fill="DAEEF3"/>
            <w:vAlign w:val="center"/>
            <w:hideMark/>
          </w:tcPr>
          <w:p w14:paraId="421399E2"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Group</w:t>
            </w:r>
          </w:p>
        </w:tc>
        <w:tc>
          <w:tcPr>
            <w:tcW w:w="321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05035244"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Items</w:t>
            </w:r>
          </w:p>
        </w:tc>
        <w:tc>
          <w:tcPr>
            <w:tcW w:w="3120" w:type="dxa"/>
            <w:gridSpan w:val="3"/>
            <w:tcBorders>
              <w:top w:val="single" w:sz="4" w:space="0" w:color="auto"/>
              <w:left w:val="nil"/>
              <w:bottom w:val="single" w:sz="4" w:space="0" w:color="auto"/>
              <w:right w:val="single" w:sz="4" w:space="0" w:color="auto"/>
            </w:tcBorders>
            <w:shd w:val="clear" w:color="000000" w:fill="DAEEF3"/>
            <w:vAlign w:val="center"/>
            <w:hideMark/>
          </w:tcPr>
          <w:p w14:paraId="6B77A20A"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Company</w:t>
            </w:r>
          </w:p>
        </w:tc>
      </w:tr>
      <w:tr w:rsidR="008D68AB" w:rsidRPr="009B771D" w14:paraId="50A2B603" w14:textId="77777777" w:rsidTr="00B5156D">
        <w:trPr>
          <w:trHeight w:val="285"/>
          <w:tblHeader/>
        </w:trPr>
        <w:tc>
          <w:tcPr>
            <w:tcW w:w="1007" w:type="dxa"/>
            <w:tcBorders>
              <w:top w:val="nil"/>
              <w:left w:val="single" w:sz="4" w:space="0" w:color="auto"/>
              <w:bottom w:val="single" w:sz="4" w:space="0" w:color="auto"/>
              <w:right w:val="single" w:sz="4" w:space="0" w:color="auto"/>
            </w:tcBorders>
            <w:shd w:val="clear" w:color="000000" w:fill="DAEEF3"/>
            <w:vAlign w:val="center"/>
            <w:hideMark/>
          </w:tcPr>
          <w:p w14:paraId="242742B5"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20</w:t>
            </w:r>
            <w:r>
              <w:rPr>
                <w:b/>
                <w:bCs/>
                <w:i/>
                <w:color w:val="0F243E"/>
                <w:sz w:val="20"/>
                <w:lang w:val="en-GB" w:eastAsia="lt-LT"/>
              </w:rPr>
              <w:t>20</w:t>
            </w:r>
          </w:p>
        </w:tc>
        <w:tc>
          <w:tcPr>
            <w:tcW w:w="1007" w:type="dxa"/>
            <w:tcBorders>
              <w:top w:val="nil"/>
              <w:left w:val="nil"/>
              <w:bottom w:val="single" w:sz="4" w:space="0" w:color="auto"/>
              <w:right w:val="single" w:sz="4" w:space="0" w:color="auto"/>
            </w:tcBorders>
            <w:shd w:val="clear" w:color="000000" w:fill="DAEEF3"/>
            <w:vAlign w:val="center"/>
            <w:hideMark/>
          </w:tcPr>
          <w:p w14:paraId="1136D1A7"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20</w:t>
            </w:r>
            <w:r>
              <w:rPr>
                <w:b/>
                <w:bCs/>
                <w:i/>
                <w:color w:val="0F243E"/>
                <w:sz w:val="20"/>
                <w:lang w:val="en-GB" w:eastAsia="lt-LT"/>
              </w:rPr>
              <w:t>21</w:t>
            </w:r>
          </w:p>
        </w:tc>
        <w:tc>
          <w:tcPr>
            <w:tcW w:w="1007" w:type="dxa"/>
            <w:tcBorders>
              <w:top w:val="nil"/>
              <w:left w:val="nil"/>
              <w:bottom w:val="single" w:sz="4" w:space="0" w:color="auto"/>
              <w:right w:val="single" w:sz="4" w:space="0" w:color="auto"/>
            </w:tcBorders>
            <w:shd w:val="clear" w:color="000000" w:fill="DAEEF3"/>
            <w:vAlign w:val="center"/>
          </w:tcPr>
          <w:p w14:paraId="7F15BA79"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20</w:t>
            </w:r>
            <w:r>
              <w:rPr>
                <w:b/>
                <w:bCs/>
                <w:i/>
                <w:color w:val="0F243E"/>
                <w:sz w:val="20"/>
                <w:lang w:val="en-GB" w:eastAsia="lt-LT"/>
              </w:rPr>
              <w:t>22</w:t>
            </w:r>
          </w:p>
        </w:tc>
        <w:tc>
          <w:tcPr>
            <w:tcW w:w="3219" w:type="dxa"/>
            <w:vMerge/>
            <w:tcBorders>
              <w:top w:val="single" w:sz="4" w:space="0" w:color="auto"/>
              <w:left w:val="single" w:sz="4" w:space="0" w:color="auto"/>
              <w:bottom w:val="single" w:sz="4" w:space="0" w:color="auto"/>
              <w:right w:val="single" w:sz="4" w:space="0" w:color="auto"/>
            </w:tcBorders>
            <w:vAlign w:val="center"/>
            <w:hideMark/>
          </w:tcPr>
          <w:p w14:paraId="7F9FA6BE" w14:textId="77777777" w:rsidR="008D68AB" w:rsidRPr="009B771D" w:rsidRDefault="008D68AB" w:rsidP="00B5156D">
            <w:pPr>
              <w:rPr>
                <w:b/>
                <w:bCs/>
                <w:i/>
                <w:color w:val="0F243E"/>
                <w:sz w:val="20"/>
                <w:lang w:val="en-GB" w:eastAsia="lt-LT"/>
              </w:rPr>
            </w:pPr>
          </w:p>
        </w:tc>
        <w:tc>
          <w:tcPr>
            <w:tcW w:w="1040" w:type="dxa"/>
            <w:tcBorders>
              <w:top w:val="nil"/>
              <w:left w:val="nil"/>
              <w:bottom w:val="single" w:sz="4" w:space="0" w:color="auto"/>
              <w:right w:val="single" w:sz="4" w:space="0" w:color="auto"/>
            </w:tcBorders>
            <w:shd w:val="clear" w:color="000000" w:fill="DAEEF3"/>
            <w:vAlign w:val="center"/>
            <w:hideMark/>
          </w:tcPr>
          <w:p w14:paraId="2ACCD1B8"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20</w:t>
            </w:r>
            <w:r>
              <w:rPr>
                <w:b/>
                <w:bCs/>
                <w:i/>
                <w:color w:val="0F243E"/>
                <w:sz w:val="20"/>
                <w:lang w:val="en-GB" w:eastAsia="lt-LT"/>
              </w:rPr>
              <w:t>20</w:t>
            </w:r>
          </w:p>
        </w:tc>
        <w:tc>
          <w:tcPr>
            <w:tcW w:w="1040" w:type="dxa"/>
            <w:tcBorders>
              <w:top w:val="nil"/>
              <w:left w:val="nil"/>
              <w:bottom w:val="single" w:sz="4" w:space="0" w:color="auto"/>
              <w:right w:val="single" w:sz="4" w:space="0" w:color="auto"/>
            </w:tcBorders>
            <w:shd w:val="clear" w:color="000000" w:fill="DAEEF3"/>
            <w:vAlign w:val="center"/>
            <w:hideMark/>
          </w:tcPr>
          <w:p w14:paraId="0E963BB7"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20</w:t>
            </w:r>
            <w:r>
              <w:rPr>
                <w:b/>
                <w:bCs/>
                <w:i/>
                <w:color w:val="0F243E"/>
                <w:sz w:val="20"/>
                <w:lang w:val="en-GB" w:eastAsia="lt-LT"/>
              </w:rPr>
              <w:t>21</w:t>
            </w:r>
          </w:p>
        </w:tc>
        <w:tc>
          <w:tcPr>
            <w:tcW w:w="1040" w:type="dxa"/>
            <w:tcBorders>
              <w:top w:val="nil"/>
              <w:left w:val="nil"/>
              <w:bottom w:val="single" w:sz="4" w:space="0" w:color="auto"/>
              <w:right w:val="single" w:sz="4" w:space="0" w:color="auto"/>
            </w:tcBorders>
            <w:shd w:val="clear" w:color="000000" w:fill="DAEEF3"/>
            <w:vAlign w:val="center"/>
          </w:tcPr>
          <w:p w14:paraId="347D93FA" w14:textId="77777777" w:rsidR="008D68AB" w:rsidRPr="009B771D" w:rsidRDefault="008D68AB" w:rsidP="00B5156D">
            <w:pPr>
              <w:jc w:val="center"/>
              <w:rPr>
                <w:b/>
                <w:bCs/>
                <w:i/>
                <w:color w:val="0F243E"/>
                <w:sz w:val="20"/>
                <w:lang w:val="en-GB" w:eastAsia="lt-LT"/>
              </w:rPr>
            </w:pPr>
            <w:r w:rsidRPr="009B771D">
              <w:rPr>
                <w:b/>
                <w:bCs/>
                <w:i/>
                <w:color w:val="0F243E"/>
                <w:sz w:val="20"/>
                <w:lang w:val="en-GB" w:eastAsia="lt-LT"/>
              </w:rPr>
              <w:t>20</w:t>
            </w:r>
            <w:r>
              <w:rPr>
                <w:b/>
                <w:bCs/>
                <w:i/>
                <w:color w:val="0F243E"/>
                <w:sz w:val="20"/>
                <w:lang w:val="en-GB" w:eastAsia="lt-LT"/>
              </w:rPr>
              <w:t>22</w:t>
            </w:r>
          </w:p>
        </w:tc>
      </w:tr>
      <w:tr w:rsidR="008D68AB" w:rsidRPr="009B771D" w14:paraId="281C1E29"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0D2D62EA" w14:textId="77777777" w:rsidR="008D68AB" w:rsidRPr="009B771D" w:rsidRDefault="008D68AB" w:rsidP="00B5156D">
            <w:pPr>
              <w:jc w:val="center"/>
              <w:rPr>
                <w:sz w:val="20"/>
                <w:lang w:val="en-GB"/>
              </w:rPr>
            </w:pPr>
            <w:r>
              <w:rPr>
                <w:sz w:val="20"/>
                <w:lang w:val="en-GB"/>
              </w:rPr>
              <w:t>74,912</w:t>
            </w:r>
          </w:p>
        </w:tc>
        <w:tc>
          <w:tcPr>
            <w:tcW w:w="1007" w:type="dxa"/>
            <w:tcBorders>
              <w:top w:val="nil"/>
              <w:left w:val="nil"/>
              <w:bottom w:val="single" w:sz="4" w:space="0" w:color="auto"/>
              <w:right w:val="single" w:sz="4" w:space="0" w:color="auto"/>
            </w:tcBorders>
            <w:shd w:val="clear" w:color="auto" w:fill="auto"/>
            <w:vAlign w:val="center"/>
          </w:tcPr>
          <w:p w14:paraId="21386BF9" w14:textId="77777777" w:rsidR="008D68AB" w:rsidRPr="009B771D" w:rsidRDefault="008D68AB" w:rsidP="00B5156D">
            <w:pPr>
              <w:jc w:val="center"/>
              <w:rPr>
                <w:sz w:val="20"/>
                <w:lang w:val="en-GB"/>
              </w:rPr>
            </w:pPr>
            <w:r>
              <w:rPr>
                <w:sz w:val="20"/>
                <w:lang w:val="en-GB"/>
              </w:rPr>
              <w:t>98,451</w:t>
            </w:r>
          </w:p>
        </w:tc>
        <w:tc>
          <w:tcPr>
            <w:tcW w:w="1007" w:type="dxa"/>
            <w:tcBorders>
              <w:top w:val="nil"/>
              <w:left w:val="nil"/>
              <w:bottom w:val="single" w:sz="4" w:space="0" w:color="auto"/>
              <w:right w:val="single" w:sz="4" w:space="0" w:color="auto"/>
            </w:tcBorders>
            <w:shd w:val="clear" w:color="auto" w:fill="auto"/>
            <w:vAlign w:val="center"/>
          </w:tcPr>
          <w:p w14:paraId="0C92F572" w14:textId="77777777" w:rsidR="008D68AB" w:rsidRPr="009B771D" w:rsidRDefault="008D68AB" w:rsidP="00B5156D">
            <w:pPr>
              <w:jc w:val="center"/>
              <w:rPr>
                <w:sz w:val="20"/>
                <w:lang w:val="en-GB"/>
              </w:rPr>
            </w:pPr>
            <w:r>
              <w:rPr>
                <w:sz w:val="20"/>
                <w:lang w:val="en-GB"/>
              </w:rPr>
              <w:t>115,840</w:t>
            </w:r>
          </w:p>
        </w:tc>
        <w:tc>
          <w:tcPr>
            <w:tcW w:w="3219" w:type="dxa"/>
            <w:tcBorders>
              <w:top w:val="nil"/>
              <w:left w:val="nil"/>
              <w:bottom w:val="single" w:sz="4" w:space="0" w:color="auto"/>
              <w:right w:val="single" w:sz="4" w:space="0" w:color="auto"/>
            </w:tcBorders>
            <w:shd w:val="clear" w:color="auto" w:fill="auto"/>
            <w:vAlign w:val="center"/>
          </w:tcPr>
          <w:p w14:paraId="7CDEBC8D" w14:textId="77777777" w:rsidR="008D68AB" w:rsidRPr="009B771D" w:rsidRDefault="008D68AB" w:rsidP="00B5156D">
            <w:pPr>
              <w:rPr>
                <w:i/>
                <w:iCs/>
                <w:sz w:val="20"/>
                <w:lang w:val="en-GB"/>
              </w:rPr>
            </w:pPr>
            <w:r w:rsidRPr="009B771D">
              <w:rPr>
                <w:i/>
                <w:iCs/>
                <w:sz w:val="20"/>
                <w:lang w:val="en-GB"/>
              </w:rPr>
              <w:t>Revenue</w:t>
            </w:r>
          </w:p>
        </w:tc>
        <w:tc>
          <w:tcPr>
            <w:tcW w:w="1040" w:type="dxa"/>
            <w:tcBorders>
              <w:top w:val="nil"/>
              <w:left w:val="nil"/>
              <w:bottom w:val="single" w:sz="4" w:space="0" w:color="auto"/>
              <w:right w:val="single" w:sz="4" w:space="0" w:color="auto"/>
            </w:tcBorders>
            <w:shd w:val="clear" w:color="auto" w:fill="auto"/>
            <w:vAlign w:val="center"/>
          </w:tcPr>
          <w:p w14:paraId="07F45886" w14:textId="77777777" w:rsidR="008D68AB" w:rsidRPr="009B771D" w:rsidRDefault="008D68AB" w:rsidP="00B5156D">
            <w:pPr>
              <w:jc w:val="center"/>
              <w:rPr>
                <w:sz w:val="20"/>
                <w:lang w:val="en-GB"/>
              </w:rPr>
            </w:pPr>
            <w:r w:rsidRPr="00F432DD">
              <w:rPr>
                <w:sz w:val="20"/>
                <w:lang w:val="en-GB"/>
              </w:rPr>
              <w:t>59,712</w:t>
            </w:r>
          </w:p>
        </w:tc>
        <w:tc>
          <w:tcPr>
            <w:tcW w:w="1040" w:type="dxa"/>
            <w:tcBorders>
              <w:top w:val="nil"/>
              <w:left w:val="nil"/>
              <w:bottom w:val="single" w:sz="4" w:space="0" w:color="auto"/>
              <w:right w:val="single" w:sz="4" w:space="0" w:color="auto"/>
            </w:tcBorders>
            <w:shd w:val="clear" w:color="auto" w:fill="auto"/>
            <w:vAlign w:val="center"/>
          </w:tcPr>
          <w:p w14:paraId="43F4C45A" w14:textId="77777777" w:rsidR="008D68AB" w:rsidRPr="009B771D" w:rsidRDefault="008D68AB" w:rsidP="00B5156D">
            <w:pPr>
              <w:jc w:val="center"/>
              <w:rPr>
                <w:sz w:val="20"/>
                <w:lang w:val="en-GB"/>
              </w:rPr>
            </w:pPr>
            <w:r w:rsidRPr="00B81B4A">
              <w:rPr>
                <w:sz w:val="20"/>
                <w:lang w:val="en-GB"/>
              </w:rPr>
              <w:t>65,721</w:t>
            </w:r>
          </w:p>
        </w:tc>
        <w:tc>
          <w:tcPr>
            <w:tcW w:w="1040" w:type="dxa"/>
            <w:tcBorders>
              <w:top w:val="nil"/>
              <w:left w:val="nil"/>
              <w:bottom w:val="single" w:sz="4" w:space="0" w:color="auto"/>
              <w:right w:val="single" w:sz="4" w:space="0" w:color="auto"/>
            </w:tcBorders>
            <w:shd w:val="clear" w:color="auto" w:fill="auto"/>
            <w:vAlign w:val="center"/>
          </w:tcPr>
          <w:p w14:paraId="201D88F7" w14:textId="77777777" w:rsidR="008D68AB" w:rsidRPr="00B81B4A" w:rsidRDefault="008D68AB" w:rsidP="00B5156D">
            <w:pPr>
              <w:jc w:val="center"/>
              <w:rPr>
                <w:sz w:val="20"/>
                <w:lang w:val="en-GB"/>
              </w:rPr>
            </w:pPr>
            <w:r>
              <w:rPr>
                <w:sz w:val="20"/>
                <w:lang w:val="en-GB"/>
              </w:rPr>
              <w:t>79,22</w:t>
            </w:r>
          </w:p>
        </w:tc>
      </w:tr>
      <w:tr w:rsidR="008D68AB" w:rsidRPr="00F432DD" w14:paraId="51678B96"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59BDC7BC" w14:textId="77777777" w:rsidR="008D68AB" w:rsidRPr="00F432DD" w:rsidRDefault="008D68AB" w:rsidP="00B5156D">
            <w:pPr>
              <w:jc w:val="center"/>
              <w:rPr>
                <w:sz w:val="20"/>
                <w:lang w:val="en-GB"/>
              </w:rPr>
            </w:pPr>
            <w:r w:rsidRPr="00F33A44">
              <w:rPr>
                <w:sz w:val="20"/>
                <w:lang w:val="en-GB"/>
              </w:rPr>
              <w:t>68,167</w:t>
            </w:r>
          </w:p>
        </w:tc>
        <w:tc>
          <w:tcPr>
            <w:tcW w:w="1007" w:type="dxa"/>
            <w:tcBorders>
              <w:top w:val="nil"/>
              <w:left w:val="nil"/>
              <w:bottom w:val="single" w:sz="4" w:space="0" w:color="auto"/>
              <w:right w:val="single" w:sz="4" w:space="0" w:color="auto"/>
            </w:tcBorders>
            <w:shd w:val="clear" w:color="auto" w:fill="auto"/>
            <w:vAlign w:val="center"/>
          </w:tcPr>
          <w:p w14:paraId="60A46404" w14:textId="77777777" w:rsidR="008D68AB" w:rsidRPr="00F432DD" w:rsidRDefault="008D68AB" w:rsidP="00B5156D">
            <w:pPr>
              <w:jc w:val="center"/>
              <w:rPr>
                <w:sz w:val="20"/>
                <w:lang w:val="en-GB"/>
              </w:rPr>
            </w:pPr>
            <w:r>
              <w:rPr>
                <w:sz w:val="20"/>
                <w:lang w:val="en-GB"/>
              </w:rPr>
              <w:t>68,283</w:t>
            </w:r>
          </w:p>
        </w:tc>
        <w:tc>
          <w:tcPr>
            <w:tcW w:w="1007" w:type="dxa"/>
            <w:tcBorders>
              <w:top w:val="nil"/>
              <w:left w:val="nil"/>
              <w:bottom w:val="single" w:sz="4" w:space="0" w:color="auto"/>
              <w:right w:val="single" w:sz="4" w:space="0" w:color="auto"/>
            </w:tcBorders>
            <w:shd w:val="clear" w:color="auto" w:fill="auto"/>
            <w:vAlign w:val="center"/>
          </w:tcPr>
          <w:p w14:paraId="1D9DDCCD" w14:textId="77777777" w:rsidR="008D68AB" w:rsidRPr="00F33A44" w:rsidRDefault="008D68AB" w:rsidP="00B5156D">
            <w:pPr>
              <w:jc w:val="center"/>
              <w:rPr>
                <w:sz w:val="20"/>
                <w:lang w:val="en-GB"/>
              </w:rPr>
            </w:pPr>
            <w:r>
              <w:rPr>
                <w:sz w:val="20"/>
                <w:lang w:val="en-GB"/>
              </w:rPr>
              <w:t>106,310</w:t>
            </w:r>
          </w:p>
        </w:tc>
        <w:tc>
          <w:tcPr>
            <w:tcW w:w="3219" w:type="dxa"/>
            <w:tcBorders>
              <w:top w:val="nil"/>
              <w:left w:val="nil"/>
              <w:bottom w:val="single" w:sz="4" w:space="0" w:color="auto"/>
              <w:right w:val="single" w:sz="4" w:space="0" w:color="auto"/>
            </w:tcBorders>
            <w:shd w:val="clear" w:color="auto" w:fill="auto"/>
            <w:vAlign w:val="center"/>
          </w:tcPr>
          <w:p w14:paraId="4C2C54CD" w14:textId="77777777" w:rsidR="008D68AB" w:rsidRPr="00F432DD" w:rsidRDefault="008D68AB" w:rsidP="00B5156D">
            <w:pPr>
              <w:rPr>
                <w:i/>
                <w:iCs/>
                <w:sz w:val="20"/>
                <w:lang w:val="en-GB"/>
              </w:rPr>
            </w:pPr>
            <w:r w:rsidRPr="00F432DD">
              <w:rPr>
                <w:i/>
                <w:iCs/>
                <w:sz w:val="20"/>
                <w:lang w:val="en-GB"/>
              </w:rPr>
              <w:t>Cost of sales</w:t>
            </w:r>
          </w:p>
        </w:tc>
        <w:tc>
          <w:tcPr>
            <w:tcW w:w="1040" w:type="dxa"/>
            <w:tcBorders>
              <w:top w:val="nil"/>
              <w:left w:val="nil"/>
              <w:bottom w:val="single" w:sz="4" w:space="0" w:color="auto"/>
              <w:right w:val="single" w:sz="4" w:space="0" w:color="auto"/>
            </w:tcBorders>
            <w:shd w:val="clear" w:color="auto" w:fill="auto"/>
            <w:vAlign w:val="center"/>
          </w:tcPr>
          <w:p w14:paraId="5BBE1C61" w14:textId="77777777" w:rsidR="008D68AB" w:rsidRPr="00F432DD" w:rsidRDefault="008D68AB" w:rsidP="00B5156D">
            <w:pPr>
              <w:jc w:val="center"/>
              <w:rPr>
                <w:sz w:val="20"/>
                <w:lang w:val="en-GB"/>
              </w:rPr>
            </w:pPr>
            <w:r w:rsidRPr="00F432DD">
              <w:rPr>
                <w:sz w:val="20"/>
                <w:lang w:val="en-GB"/>
              </w:rPr>
              <w:t>58,531</w:t>
            </w:r>
          </w:p>
        </w:tc>
        <w:tc>
          <w:tcPr>
            <w:tcW w:w="1040" w:type="dxa"/>
            <w:tcBorders>
              <w:top w:val="nil"/>
              <w:left w:val="nil"/>
              <w:bottom w:val="single" w:sz="4" w:space="0" w:color="auto"/>
              <w:right w:val="single" w:sz="4" w:space="0" w:color="auto"/>
            </w:tcBorders>
            <w:shd w:val="clear" w:color="auto" w:fill="auto"/>
            <w:vAlign w:val="center"/>
          </w:tcPr>
          <w:p w14:paraId="2753A243" w14:textId="77777777" w:rsidR="008D68AB" w:rsidRPr="00F432DD" w:rsidRDefault="008D68AB" w:rsidP="00B5156D">
            <w:pPr>
              <w:jc w:val="center"/>
              <w:rPr>
                <w:sz w:val="20"/>
                <w:lang w:val="en-GB"/>
              </w:rPr>
            </w:pPr>
            <w:r>
              <w:rPr>
                <w:sz w:val="20"/>
                <w:lang w:val="en-GB"/>
              </w:rPr>
              <w:t>59,888</w:t>
            </w:r>
          </w:p>
        </w:tc>
        <w:tc>
          <w:tcPr>
            <w:tcW w:w="1040" w:type="dxa"/>
            <w:tcBorders>
              <w:top w:val="nil"/>
              <w:left w:val="nil"/>
              <w:bottom w:val="single" w:sz="4" w:space="0" w:color="auto"/>
              <w:right w:val="single" w:sz="4" w:space="0" w:color="auto"/>
            </w:tcBorders>
            <w:shd w:val="clear" w:color="auto" w:fill="auto"/>
            <w:vAlign w:val="center"/>
          </w:tcPr>
          <w:p w14:paraId="4E84A2D4" w14:textId="77777777" w:rsidR="008D68AB" w:rsidRPr="00B81B4A" w:rsidRDefault="008D68AB" w:rsidP="00B5156D">
            <w:pPr>
              <w:jc w:val="center"/>
              <w:rPr>
                <w:sz w:val="20"/>
                <w:lang w:val="en-GB"/>
              </w:rPr>
            </w:pPr>
            <w:r>
              <w:rPr>
                <w:sz w:val="20"/>
                <w:lang w:val="en-GB"/>
              </w:rPr>
              <w:t>77,066</w:t>
            </w:r>
          </w:p>
        </w:tc>
      </w:tr>
      <w:tr w:rsidR="008D68AB" w:rsidRPr="00F432DD" w14:paraId="41F1F79D"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0C62DAE7" w14:textId="77777777" w:rsidR="008D68AB" w:rsidRPr="00F432DD" w:rsidRDefault="008D68AB" w:rsidP="00B5156D">
            <w:pPr>
              <w:jc w:val="center"/>
              <w:rPr>
                <w:sz w:val="20"/>
                <w:lang w:val="en-GB"/>
              </w:rPr>
            </w:pPr>
            <w:r w:rsidRPr="00F33A44">
              <w:rPr>
                <w:sz w:val="20"/>
                <w:lang w:val="en-GB"/>
              </w:rPr>
              <w:t>6,745</w:t>
            </w:r>
          </w:p>
        </w:tc>
        <w:tc>
          <w:tcPr>
            <w:tcW w:w="1007" w:type="dxa"/>
            <w:tcBorders>
              <w:top w:val="nil"/>
              <w:left w:val="nil"/>
              <w:bottom w:val="single" w:sz="4" w:space="0" w:color="auto"/>
              <w:right w:val="single" w:sz="4" w:space="0" w:color="auto"/>
            </w:tcBorders>
            <w:shd w:val="clear" w:color="auto" w:fill="auto"/>
            <w:vAlign w:val="center"/>
          </w:tcPr>
          <w:p w14:paraId="4774887D" w14:textId="77777777" w:rsidR="008D68AB" w:rsidRPr="00F432DD" w:rsidRDefault="008D68AB" w:rsidP="00B5156D">
            <w:pPr>
              <w:jc w:val="center"/>
              <w:rPr>
                <w:sz w:val="20"/>
                <w:lang w:val="en-GB"/>
              </w:rPr>
            </w:pPr>
            <w:r>
              <w:rPr>
                <w:sz w:val="20"/>
                <w:lang w:val="en-GB"/>
              </w:rPr>
              <w:t>12,168</w:t>
            </w:r>
          </w:p>
        </w:tc>
        <w:tc>
          <w:tcPr>
            <w:tcW w:w="1007" w:type="dxa"/>
            <w:tcBorders>
              <w:top w:val="nil"/>
              <w:left w:val="nil"/>
              <w:bottom w:val="single" w:sz="4" w:space="0" w:color="auto"/>
              <w:right w:val="single" w:sz="4" w:space="0" w:color="auto"/>
            </w:tcBorders>
            <w:shd w:val="clear" w:color="auto" w:fill="auto"/>
            <w:vAlign w:val="center"/>
          </w:tcPr>
          <w:p w14:paraId="5CA50291" w14:textId="77777777" w:rsidR="008D68AB" w:rsidRPr="00F33A44" w:rsidRDefault="008D68AB" w:rsidP="00B5156D">
            <w:pPr>
              <w:jc w:val="center"/>
              <w:rPr>
                <w:sz w:val="20"/>
                <w:lang w:val="en-GB"/>
              </w:rPr>
            </w:pPr>
            <w:r>
              <w:rPr>
                <w:sz w:val="20"/>
                <w:lang w:val="en-GB"/>
              </w:rPr>
              <w:t>9,530</w:t>
            </w:r>
          </w:p>
        </w:tc>
        <w:tc>
          <w:tcPr>
            <w:tcW w:w="3219" w:type="dxa"/>
            <w:tcBorders>
              <w:top w:val="nil"/>
              <w:left w:val="nil"/>
              <w:bottom w:val="single" w:sz="4" w:space="0" w:color="auto"/>
              <w:right w:val="single" w:sz="4" w:space="0" w:color="auto"/>
            </w:tcBorders>
            <w:shd w:val="clear" w:color="auto" w:fill="auto"/>
            <w:vAlign w:val="center"/>
          </w:tcPr>
          <w:p w14:paraId="416068BD" w14:textId="77777777" w:rsidR="008D68AB" w:rsidRPr="00F432DD" w:rsidRDefault="008D68AB" w:rsidP="00B5156D">
            <w:pPr>
              <w:rPr>
                <w:i/>
                <w:iCs/>
                <w:sz w:val="20"/>
                <w:lang w:val="en-GB"/>
              </w:rPr>
            </w:pPr>
            <w:r w:rsidRPr="00F432DD">
              <w:rPr>
                <w:i/>
                <w:iCs/>
                <w:sz w:val="20"/>
                <w:lang w:val="en-GB"/>
              </w:rPr>
              <w:t>Gross profit</w:t>
            </w:r>
          </w:p>
        </w:tc>
        <w:tc>
          <w:tcPr>
            <w:tcW w:w="1040" w:type="dxa"/>
            <w:tcBorders>
              <w:top w:val="nil"/>
              <w:left w:val="nil"/>
              <w:bottom w:val="single" w:sz="4" w:space="0" w:color="auto"/>
              <w:right w:val="single" w:sz="4" w:space="0" w:color="auto"/>
            </w:tcBorders>
            <w:shd w:val="clear" w:color="auto" w:fill="auto"/>
            <w:vAlign w:val="center"/>
          </w:tcPr>
          <w:p w14:paraId="2A9F025D" w14:textId="77777777" w:rsidR="008D68AB" w:rsidRPr="00F432DD" w:rsidRDefault="008D68AB" w:rsidP="00B5156D">
            <w:pPr>
              <w:jc w:val="center"/>
              <w:rPr>
                <w:sz w:val="20"/>
                <w:lang w:val="en-GB"/>
              </w:rPr>
            </w:pPr>
            <w:r w:rsidRPr="00F432DD">
              <w:rPr>
                <w:sz w:val="20"/>
                <w:lang w:val="en-GB"/>
              </w:rPr>
              <w:t>1,181</w:t>
            </w:r>
          </w:p>
        </w:tc>
        <w:tc>
          <w:tcPr>
            <w:tcW w:w="1040" w:type="dxa"/>
            <w:tcBorders>
              <w:top w:val="nil"/>
              <w:left w:val="nil"/>
              <w:bottom w:val="single" w:sz="4" w:space="0" w:color="auto"/>
              <w:right w:val="single" w:sz="4" w:space="0" w:color="auto"/>
            </w:tcBorders>
            <w:shd w:val="clear" w:color="auto" w:fill="auto"/>
            <w:vAlign w:val="center"/>
          </w:tcPr>
          <w:p w14:paraId="312A6C3F" w14:textId="77777777" w:rsidR="008D68AB" w:rsidRPr="00F432DD" w:rsidRDefault="008D68AB" w:rsidP="00B5156D">
            <w:pPr>
              <w:jc w:val="center"/>
              <w:rPr>
                <w:sz w:val="20"/>
                <w:lang w:val="en-GB"/>
              </w:rPr>
            </w:pPr>
            <w:r>
              <w:rPr>
                <w:sz w:val="20"/>
                <w:lang w:val="en-GB"/>
              </w:rPr>
              <w:t>5,833</w:t>
            </w:r>
          </w:p>
        </w:tc>
        <w:tc>
          <w:tcPr>
            <w:tcW w:w="1040" w:type="dxa"/>
            <w:tcBorders>
              <w:top w:val="nil"/>
              <w:left w:val="nil"/>
              <w:bottom w:val="single" w:sz="4" w:space="0" w:color="auto"/>
              <w:right w:val="single" w:sz="4" w:space="0" w:color="auto"/>
            </w:tcBorders>
            <w:shd w:val="clear" w:color="auto" w:fill="auto"/>
            <w:vAlign w:val="center"/>
          </w:tcPr>
          <w:p w14:paraId="43878B26" w14:textId="77777777" w:rsidR="008D68AB" w:rsidRPr="00B81B4A" w:rsidRDefault="008D68AB" w:rsidP="00B5156D">
            <w:pPr>
              <w:jc w:val="center"/>
              <w:rPr>
                <w:sz w:val="20"/>
                <w:lang w:val="en-GB"/>
              </w:rPr>
            </w:pPr>
            <w:r>
              <w:rPr>
                <w:sz w:val="20"/>
                <w:lang w:val="en-GB"/>
              </w:rPr>
              <w:t>2,156</w:t>
            </w:r>
          </w:p>
        </w:tc>
      </w:tr>
      <w:tr w:rsidR="008D68AB" w:rsidRPr="00F432DD" w14:paraId="716E90DB"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7AB50E75" w14:textId="77777777" w:rsidR="008D68AB" w:rsidRPr="00F432DD" w:rsidRDefault="008D68AB" w:rsidP="00B5156D">
            <w:pPr>
              <w:jc w:val="center"/>
              <w:rPr>
                <w:sz w:val="20"/>
                <w:lang w:val="en-GB"/>
              </w:rPr>
            </w:pPr>
            <w:r w:rsidRPr="00F33A44">
              <w:rPr>
                <w:sz w:val="20"/>
                <w:lang w:val="en-GB"/>
              </w:rPr>
              <w:t>9.00</w:t>
            </w:r>
          </w:p>
        </w:tc>
        <w:tc>
          <w:tcPr>
            <w:tcW w:w="1007" w:type="dxa"/>
            <w:tcBorders>
              <w:top w:val="nil"/>
              <w:left w:val="nil"/>
              <w:bottom w:val="single" w:sz="4" w:space="0" w:color="auto"/>
              <w:right w:val="single" w:sz="4" w:space="0" w:color="auto"/>
            </w:tcBorders>
            <w:shd w:val="clear" w:color="auto" w:fill="auto"/>
            <w:vAlign w:val="center"/>
          </w:tcPr>
          <w:p w14:paraId="0EF8A933" w14:textId="77777777" w:rsidR="008D68AB" w:rsidRPr="00F432DD" w:rsidRDefault="008D68AB" w:rsidP="00B5156D">
            <w:pPr>
              <w:jc w:val="center"/>
              <w:rPr>
                <w:sz w:val="20"/>
                <w:lang w:val="en-GB"/>
              </w:rPr>
            </w:pPr>
            <w:r>
              <w:rPr>
                <w:sz w:val="20"/>
                <w:lang w:val="en-GB"/>
              </w:rPr>
              <w:t>12.36</w:t>
            </w:r>
          </w:p>
        </w:tc>
        <w:tc>
          <w:tcPr>
            <w:tcW w:w="1007" w:type="dxa"/>
            <w:tcBorders>
              <w:top w:val="nil"/>
              <w:left w:val="nil"/>
              <w:bottom w:val="single" w:sz="4" w:space="0" w:color="auto"/>
              <w:right w:val="single" w:sz="4" w:space="0" w:color="auto"/>
            </w:tcBorders>
            <w:shd w:val="clear" w:color="auto" w:fill="auto"/>
            <w:vAlign w:val="center"/>
          </w:tcPr>
          <w:p w14:paraId="747FC564" w14:textId="77777777" w:rsidR="008D68AB" w:rsidRPr="00F33A44" w:rsidRDefault="008D68AB" w:rsidP="00B5156D">
            <w:pPr>
              <w:jc w:val="center"/>
              <w:rPr>
                <w:sz w:val="20"/>
                <w:lang w:val="en-GB"/>
              </w:rPr>
            </w:pPr>
            <w:r>
              <w:rPr>
                <w:sz w:val="20"/>
                <w:lang w:val="en-GB"/>
              </w:rPr>
              <w:t>8.23</w:t>
            </w:r>
          </w:p>
        </w:tc>
        <w:tc>
          <w:tcPr>
            <w:tcW w:w="3219" w:type="dxa"/>
            <w:tcBorders>
              <w:top w:val="nil"/>
              <w:left w:val="nil"/>
              <w:bottom w:val="single" w:sz="4" w:space="0" w:color="auto"/>
              <w:right w:val="single" w:sz="4" w:space="0" w:color="auto"/>
            </w:tcBorders>
            <w:shd w:val="clear" w:color="auto" w:fill="auto"/>
            <w:vAlign w:val="center"/>
          </w:tcPr>
          <w:p w14:paraId="64C4928C" w14:textId="77777777" w:rsidR="008D68AB" w:rsidRPr="00F432DD" w:rsidRDefault="008D68AB" w:rsidP="00B5156D">
            <w:pPr>
              <w:ind w:right="-5"/>
              <w:rPr>
                <w:i/>
                <w:iCs/>
                <w:sz w:val="20"/>
                <w:lang w:val="en-GB"/>
              </w:rPr>
            </w:pPr>
            <w:r w:rsidRPr="00F432DD">
              <w:rPr>
                <w:i/>
                <w:iCs/>
                <w:sz w:val="20"/>
                <w:lang w:val="en-GB"/>
              </w:rPr>
              <w:t>Gross profit margin (per cents)</w:t>
            </w:r>
            <w:r>
              <w:rPr>
                <w:i/>
                <w:iCs/>
                <w:sz w:val="20"/>
                <w:lang w:val="en-GB"/>
              </w:rPr>
              <w:t xml:space="preserve"> (API)</w:t>
            </w:r>
          </w:p>
        </w:tc>
        <w:tc>
          <w:tcPr>
            <w:tcW w:w="1040" w:type="dxa"/>
            <w:tcBorders>
              <w:top w:val="nil"/>
              <w:left w:val="nil"/>
              <w:bottom w:val="single" w:sz="4" w:space="0" w:color="auto"/>
              <w:right w:val="single" w:sz="4" w:space="0" w:color="auto"/>
            </w:tcBorders>
            <w:shd w:val="clear" w:color="auto" w:fill="auto"/>
            <w:vAlign w:val="center"/>
          </w:tcPr>
          <w:p w14:paraId="64370390" w14:textId="77777777" w:rsidR="008D68AB" w:rsidRPr="00F432DD" w:rsidRDefault="008D68AB" w:rsidP="00B5156D">
            <w:pPr>
              <w:jc w:val="center"/>
              <w:rPr>
                <w:sz w:val="20"/>
                <w:lang w:val="en-GB"/>
              </w:rPr>
            </w:pPr>
            <w:r w:rsidRPr="00F432DD">
              <w:rPr>
                <w:sz w:val="20"/>
                <w:lang w:val="en-GB"/>
              </w:rPr>
              <w:t>1.98</w:t>
            </w:r>
          </w:p>
        </w:tc>
        <w:tc>
          <w:tcPr>
            <w:tcW w:w="1040" w:type="dxa"/>
            <w:tcBorders>
              <w:top w:val="nil"/>
              <w:left w:val="nil"/>
              <w:bottom w:val="single" w:sz="4" w:space="0" w:color="auto"/>
              <w:right w:val="single" w:sz="4" w:space="0" w:color="auto"/>
            </w:tcBorders>
            <w:shd w:val="clear" w:color="auto" w:fill="auto"/>
            <w:vAlign w:val="center"/>
          </w:tcPr>
          <w:p w14:paraId="2D908B13" w14:textId="77777777" w:rsidR="008D68AB" w:rsidRPr="00F432DD" w:rsidRDefault="008D68AB" w:rsidP="00B5156D">
            <w:pPr>
              <w:jc w:val="center"/>
              <w:rPr>
                <w:sz w:val="20"/>
                <w:lang w:val="en-GB"/>
              </w:rPr>
            </w:pPr>
            <w:r>
              <w:rPr>
                <w:sz w:val="20"/>
                <w:lang w:val="en-GB"/>
              </w:rPr>
              <w:t>8.88</w:t>
            </w:r>
          </w:p>
        </w:tc>
        <w:tc>
          <w:tcPr>
            <w:tcW w:w="1040" w:type="dxa"/>
            <w:tcBorders>
              <w:top w:val="nil"/>
              <w:left w:val="nil"/>
              <w:bottom w:val="single" w:sz="4" w:space="0" w:color="auto"/>
              <w:right w:val="single" w:sz="4" w:space="0" w:color="auto"/>
            </w:tcBorders>
            <w:shd w:val="clear" w:color="auto" w:fill="auto"/>
            <w:vAlign w:val="center"/>
          </w:tcPr>
          <w:p w14:paraId="1D3410A0" w14:textId="77777777" w:rsidR="008D68AB" w:rsidRPr="00B81B4A" w:rsidRDefault="008D68AB" w:rsidP="00B5156D">
            <w:pPr>
              <w:jc w:val="center"/>
              <w:rPr>
                <w:sz w:val="20"/>
                <w:lang w:val="en-GB"/>
              </w:rPr>
            </w:pPr>
            <w:r>
              <w:rPr>
                <w:sz w:val="20"/>
                <w:lang w:val="en-GB"/>
              </w:rPr>
              <w:t>2.72</w:t>
            </w:r>
          </w:p>
        </w:tc>
      </w:tr>
      <w:tr w:rsidR="008D68AB" w:rsidRPr="00F432DD" w14:paraId="42AF74AD"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39B80D62" w14:textId="77777777" w:rsidR="008D68AB" w:rsidRPr="00F432DD" w:rsidRDefault="008D68AB" w:rsidP="00B5156D">
            <w:pPr>
              <w:jc w:val="center"/>
              <w:rPr>
                <w:sz w:val="20"/>
                <w:lang w:val="en-GB"/>
              </w:rPr>
            </w:pPr>
            <w:r w:rsidRPr="00F33A44">
              <w:rPr>
                <w:sz w:val="20"/>
                <w:lang w:val="en-GB"/>
              </w:rPr>
              <w:t>-9,360</w:t>
            </w:r>
          </w:p>
        </w:tc>
        <w:tc>
          <w:tcPr>
            <w:tcW w:w="1007" w:type="dxa"/>
            <w:tcBorders>
              <w:top w:val="nil"/>
              <w:left w:val="nil"/>
              <w:bottom w:val="single" w:sz="4" w:space="0" w:color="auto"/>
              <w:right w:val="single" w:sz="4" w:space="0" w:color="auto"/>
            </w:tcBorders>
            <w:shd w:val="clear" w:color="auto" w:fill="auto"/>
            <w:vAlign w:val="center"/>
          </w:tcPr>
          <w:p w14:paraId="64E62AC3" w14:textId="77777777" w:rsidR="008D68AB" w:rsidRPr="00F432DD" w:rsidRDefault="008D68AB" w:rsidP="00B5156D">
            <w:pPr>
              <w:jc w:val="center"/>
              <w:rPr>
                <w:sz w:val="20"/>
                <w:lang w:val="en-GB"/>
              </w:rPr>
            </w:pPr>
            <w:r>
              <w:rPr>
                <w:sz w:val="20"/>
                <w:lang w:val="en-GB"/>
              </w:rPr>
              <w:t>2,414</w:t>
            </w:r>
          </w:p>
        </w:tc>
        <w:tc>
          <w:tcPr>
            <w:tcW w:w="1007" w:type="dxa"/>
            <w:tcBorders>
              <w:top w:val="nil"/>
              <w:left w:val="nil"/>
              <w:bottom w:val="single" w:sz="4" w:space="0" w:color="auto"/>
              <w:right w:val="single" w:sz="4" w:space="0" w:color="auto"/>
            </w:tcBorders>
            <w:shd w:val="clear" w:color="auto" w:fill="auto"/>
            <w:vAlign w:val="center"/>
          </w:tcPr>
          <w:p w14:paraId="6D036396" w14:textId="77777777" w:rsidR="008D68AB" w:rsidRPr="00F33A44" w:rsidRDefault="008D68AB" w:rsidP="00B5156D">
            <w:pPr>
              <w:jc w:val="center"/>
              <w:rPr>
                <w:sz w:val="20"/>
                <w:lang w:val="en-GB"/>
              </w:rPr>
            </w:pPr>
            <w:r>
              <w:rPr>
                <w:sz w:val="20"/>
                <w:lang w:val="en-GB"/>
              </w:rPr>
              <w:t>-1,067</w:t>
            </w:r>
          </w:p>
        </w:tc>
        <w:tc>
          <w:tcPr>
            <w:tcW w:w="3219" w:type="dxa"/>
            <w:tcBorders>
              <w:top w:val="nil"/>
              <w:left w:val="nil"/>
              <w:bottom w:val="single" w:sz="4" w:space="0" w:color="auto"/>
              <w:right w:val="single" w:sz="4" w:space="0" w:color="auto"/>
            </w:tcBorders>
            <w:shd w:val="clear" w:color="auto" w:fill="auto"/>
            <w:vAlign w:val="center"/>
          </w:tcPr>
          <w:p w14:paraId="36106F26" w14:textId="77777777" w:rsidR="008D68AB" w:rsidRPr="00F432DD" w:rsidRDefault="008D68AB" w:rsidP="00B5156D">
            <w:pPr>
              <w:rPr>
                <w:i/>
                <w:iCs/>
                <w:sz w:val="20"/>
                <w:lang w:val="en-GB"/>
              </w:rPr>
            </w:pPr>
            <w:r w:rsidRPr="00F432DD">
              <w:rPr>
                <w:i/>
                <w:iCs/>
                <w:sz w:val="20"/>
                <w:lang w:val="en-GB"/>
              </w:rPr>
              <w:t xml:space="preserve">Typical operating result </w:t>
            </w:r>
          </w:p>
        </w:tc>
        <w:tc>
          <w:tcPr>
            <w:tcW w:w="1040" w:type="dxa"/>
            <w:tcBorders>
              <w:top w:val="nil"/>
              <w:left w:val="nil"/>
              <w:bottom w:val="single" w:sz="4" w:space="0" w:color="auto"/>
              <w:right w:val="single" w:sz="4" w:space="0" w:color="auto"/>
            </w:tcBorders>
            <w:shd w:val="clear" w:color="auto" w:fill="auto"/>
            <w:vAlign w:val="center"/>
          </w:tcPr>
          <w:p w14:paraId="2F84CFCF" w14:textId="77777777" w:rsidR="008D68AB" w:rsidRPr="00F432DD" w:rsidRDefault="008D68AB" w:rsidP="00B5156D">
            <w:pPr>
              <w:jc w:val="center"/>
              <w:rPr>
                <w:sz w:val="20"/>
                <w:lang w:val="en-GB"/>
              </w:rPr>
            </w:pPr>
            <w:r w:rsidRPr="00F432DD">
              <w:rPr>
                <w:sz w:val="20"/>
                <w:lang w:val="en-GB"/>
              </w:rPr>
              <w:t>-12,595</w:t>
            </w:r>
          </w:p>
        </w:tc>
        <w:tc>
          <w:tcPr>
            <w:tcW w:w="1040" w:type="dxa"/>
            <w:tcBorders>
              <w:top w:val="nil"/>
              <w:left w:val="nil"/>
              <w:bottom w:val="single" w:sz="4" w:space="0" w:color="auto"/>
              <w:right w:val="single" w:sz="4" w:space="0" w:color="auto"/>
            </w:tcBorders>
            <w:shd w:val="clear" w:color="auto" w:fill="auto"/>
            <w:vAlign w:val="center"/>
          </w:tcPr>
          <w:p w14:paraId="15250B39" w14:textId="77777777" w:rsidR="008D68AB" w:rsidRPr="00F432DD" w:rsidRDefault="008D68AB" w:rsidP="00B5156D">
            <w:pPr>
              <w:jc w:val="center"/>
              <w:rPr>
                <w:sz w:val="20"/>
                <w:lang w:val="en-GB"/>
              </w:rPr>
            </w:pPr>
            <w:r>
              <w:rPr>
                <w:sz w:val="20"/>
                <w:lang w:val="en-GB"/>
              </w:rPr>
              <w:t>-589</w:t>
            </w:r>
          </w:p>
        </w:tc>
        <w:tc>
          <w:tcPr>
            <w:tcW w:w="1040" w:type="dxa"/>
            <w:tcBorders>
              <w:top w:val="nil"/>
              <w:left w:val="nil"/>
              <w:bottom w:val="single" w:sz="4" w:space="0" w:color="auto"/>
              <w:right w:val="single" w:sz="4" w:space="0" w:color="auto"/>
            </w:tcBorders>
            <w:shd w:val="clear" w:color="auto" w:fill="auto"/>
            <w:vAlign w:val="center"/>
          </w:tcPr>
          <w:p w14:paraId="492C4713" w14:textId="77777777" w:rsidR="008D68AB" w:rsidRPr="00B81B4A" w:rsidRDefault="008D68AB" w:rsidP="00B5156D">
            <w:pPr>
              <w:jc w:val="center"/>
              <w:rPr>
                <w:sz w:val="20"/>
                <w:lang w:val="en-GB"/>
              </w:rPr>
            </w:pPr>
            <w:r>
              <w:rPr>
                <w:sz w:val="20"/>
                <w:lang w:val="en-GB"/>
              </w:rPr>
              <w:t>-4,978</w:t>
            </w:r>
          </w:p>
        </w:tc>
      </w:tr>
      <w:tr w:rsidR="008D68AB" w:rsidRPr="00EB1979" w14:paraId="13EFD525" w14:textId="77777777" w:rsidTr="00B5156D">
        <w:trPr>
          <w:trHeight w:val="567"/>
        </w:trPr>
        <w:tc>
          <w:tcPr>
            <w:tcW w:w="1007" w:type="dxa"/>
            <w:tcBorders>
              <w:top w:val="nil"/>
              <w:left w:val="single" w:sz="4" w:space="0" w:color="auto"/>
              <w:bottom w:val="single" w:sz="4" w:space="0" w:color="auto"/>
              <w:right w:val="single" w:sz="4" w:space="0" w:color="auto"/>
            </w:tcBorders>
            <w:shd w:val="clear" w:color="auto" w:fill="auto"/>
            <w:vAlign w:val="center"/>
          </w:tcPr>
          <w:p w14:paraId="601BE358" w14:textId="77777777" w:rsidR="008D68AB" w:rsidRPr="00EB1979" w:rsidRDefault="008D68AB" w:rsidP="00B5156D">
            <w:pPr>
              <w:jc w:val="center"/>
              <w:rPr>
                <w:sz w:val="20"/>
                <w:lang w:val="en-GB"/>
              </w:rPr>
            </w:pPr>
            <w:r w:rsidRPr="00EB1979">
              <w:rPr>
                <w:sz w:val="20"/>
                <w:lang w:val="en-GB"/>
              </w:rPr>
              <w:t>-12.49</w:t>
            </w:r>
          </w:p>
        </w:tc>
        <w:tc>
          <w:tcPr>
            <w:tcW w:w="1007" w:type="dxa"/>
            <w:tcBorders>
              <w:top w:val="nil"/>
              <w:left w:val="nil"/>
              <w:bottom w:val="single" w:sz="4" w:space="0" w:color="auto"/>
              <w:right w:val="single" w:sz="4" w:space="0" w:color="auto"/>
            </w:tcBorders>
            <w:shd w:val="clear" w:color="auto" w:fill="auto"/>
            <w:vAlign w:val="center"/>
          </w:tcPr>
          <w:p w14:paraId="28ED8049" w14:textId="77777777" w:rsidR="008D68AB" w:rsidRPr="00EB1979" w:rsidRDefault="008D68AB" w:rsidP="00B5156D">
            <w:pPr>
              <w:jc w:val="center"/>
              <w:rPr>
                <w:sz w:val="20"/>
                <w:lang w:val="en-GB"/>
              </w:rPr>
            </w:pPr>
            <w:r w:rsidRPr="00EB1979">
              <w:rPr>
                <w:sz w:val="20"/>
                <w:lang w:val="en-GB"/>
              </w:rPr>
              <w:t>2.45</w:t>
            </w:r>
          </w:p>
        </w:tc>
        <w:tc>
          <w:tcPr>
            <w:tcW w:w="1007" w:type="dxa"/>
            <w:tcBorders>
              <w:top w:val="nil"/>
              <w:left w:val="nil"/>
              <w:bottom w:val="single" w:sz="4" w:space="0" w:color="auto"/>
              <w:right w:val="single" w:sz="4" w:space="0" w:color="auto"/>
            </w:tcBorders>
            <w:shd w:val="clear" w:color="auto" w:fill="auto"/>
            <w:vAlign w:val="center"/>
          </w:tcPr>
          <w:p w14:paraId="3A5F37C7" w14:textId="77777777" w:rsidR="008D68AB" w:rsidRPr="00EB1979" w:rsidRDefault="008D68AB" w:rsidP="00B5156D">
            <w:pPr>
              <w:jc w:val="center"/>
              <w:rPr>
                <w:sz w:val="20"/>
                <w:lang w:val="en-GB"/>
              </w:rPr>
            </w:pPr>
            <w:r w:rsidRPr="00EB1979">
              <w:rPr>
                <w:sz w:val="20"/>
                <w:lang w:val="en-GB"/>
              </w:rPr>
              <w:t>-0.92</w:t>
            </w:r>
          </w:p>
        </w:tc>
        <w:tc>
          <w:tcPr>
            <w:tcW w:w="3219" w:type="dxa"/>
            <w:tcBorders>
              <w:top w:val="nil"/>
              <w:left w:val="nil"/>
              <w:bottom w:val="single" w:sz="4" w:space="0" w:color="auto"/>
              <w:right w:val="single" w:sz="4" w:space="0" w:color="auto"/>
            </w:tcBorders>
            <w:shd w:val="clear" w:color="auto" w:fill="auto"/>
            <w:vAlign w:val="center"/>
          </w:tcPr>
          <w:p w14:paraId="71EB9D2A" w14:textId="77777777" w:rsidR="008D68AB" w:rsidRPr="00EB1979" w:rsidRDefault="008D68AB" w:rsidP="00B5156D">
            <w:pPr>
              <w:rPr>
                <w:i/>
                <w:iCs/>
                <w:sz w:val="20"/>
                <w:lang w:val="en-GB"/>
              </w:rPr>
            </w:pPr>
            <w:r w:rsidRPr="00EB1979">
              <w:rPr>
                <w:i/>
                <w:iCs/>
                <w:sz w:val="20"/>
                <w:lang w:val="en-GB"/>
              </w:rPr>
              <w:t xml:space="preserve">Typical operating result from turnover (per cent) </w:t>
            </w:r>
          </w:p>
        </w:tc>
        <w:tc>
          <w:tcPr>
            <w:tcW w:w="1040" w:type="dxa"/>
            <w:tcBorders>
              <w:top w:val="nil"/>
              <w:left w:val="nil"/>
              <w:bottom w:val="single" w:sz="4" w:space="0" w:color="auto"/>
              <w:right w:val="single" w:sz="4" w:space="0" w:color="auto"/>
            </w:tcBorders>
            <w:shd w:val="clear" w:color="auto" w:fill="auto"/>
            <w:vAlign w:val="center"/>
          </w:tcPr>
          <w:p w14:paraId="76F94639" w14:textId="77777777" w:rsidR="008D68AB" w:rsidRPr="00EB1979" w:rsidRDefault="008D68AB" w:rsidP="00B5156D">
            <w:pPr>
              <w:jc w:val="center"/>
              <w:rPr>
                <w:sz w:val="20"/>
                <w:lang w:val="en-GB"/>
              </w:rPr>
            </w:pPr>
            <w:r w:rsidRPr="00EB1979">
              <w:rPr>
                <w:sz w:val="20"/>
                <w:lang w:val="en-GB"/>
              </w:rPr>
              <w:t>-21.09</w:t>
            </w:r>
          </w:p>
        </w:tc>
        <w:tc>
          <w:tcPr>
            <w:tcW w:w="1040" w:type="dxa"/>
            <w:tcBorders>
              <w:top w:val="nil"/>
              <w:left w:val="nil"/>
              <w:bottom w:val="single" w:sz="4" w:space="0" w:color="auto"/>
              <w:right w:val="single" w:sz="4" w:space="0" w:color="auto"/>
            </w:tcBorders>
            <w:shd w:val="clear" w:color="auto" w:fill="auto"/>
            <w:vAlign w:val="center"/>
          </w:tcPr>
          <w:p w14:paraId="5407DD2F" w14:textId="77777777" w:rsidR="008D68AB" w:rsidRPr="00EB1979" w:rsidRDefault="008D68AB" w:rsidP="00B5156D">
            <w:pPr>
              <w:jc w:val="center"/>
              <w:rPr>
                <w:sz w:val="20"/>
                <w:lang w:val="en-GB"/>
              </w:rPr>
            </w:pPr>
            <w:r w:rsidRPr="00EB1979">
              <w:rPr>
                <w:sz w:val="20"/>
                <w:lang w:val="en-GB"/>
              </w:rPr>
              <w:t>-0.90</w:t>
            </w:r>
          </w:p>
        </w:tc>
        <w:tc>
          <w:tcPr>
            <w:tcW w:w="1040" w:type="dxa"/>
            <w:tcBorders>
              <w:top w:val="nil"/>
              <w:left w:val="nil"/>
              <w:bottom w:val="single" w:sz="4" w:space="0" w:color="auto"/>
              <w:right w:val="single" w:sz="4" w:space="0" w:color="auto"/>
            </w:tcBorders>
            <w:shd w:val="clear" w:color="auto" w:fill="auto"/>
            <w:vAlign w:val="center"/>
          </w:tcPr>
          <w:p w14:paraId="4CBD443E" w14:textId="77777777" w:rsidR="008D68AB" w:rsidRPr="00EB1979" w:rsidRDefault="008D68AB" w:rsidP="00B5156D">
            <w:pPr>
              <w:jc w:val="center"/>
              <w:rPr>
                <w:sz w:val="20"/>
                <w:lang w:val="en-GB"/>
              </w:rPr>
            </w:pPr>
            <w:r w:rsidRPr="00EB1979">
              <w:rPr>
                <w:sz w:val="20"/>
                <w:lang w:val="en-GB"/>
              </w:rPr>
              <w:t>-6.28</w:t>
            </w:r>
          </w:p>
        </w:tc>
      </w:tr>
      <w:tr w:rsidR="008D68AB" w:rsidRPr="00EB1979" w14:paraId="4AF73B6B"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72D09F04" w14:textId="77777777" w:rsidR="008D68AB" w:rsidRPr="00EB1979" w:rsidRDefault="008D68AB" w:rsidP="00B5156D">
            <w:pPr>
              <w:jc w:val="center"/>
              <w:rPr>
                <w:sz w:val="20"/>
                <w:lang w:val="en-GB"/>
              </w:rPr>
            </w:pPr>
            <w:r w:rsidRPr="00EB1979">
              <w:rPr>
                <w:sz w:val="20"/>
                <w:lang w:val="en-GB"/>
              </w:rPr>
              <w:t>-7,925</w:t>
            </w:r>
          </w:p>
        </w:tc>
        <w:tc>
          <w:tcPr>
            <w:tcW w:w="1007" w:type="dxa"/>
            <w:tcBorders>
              <w:top w:val="nil"/>
              <w:left w:val="nil"/>
              <w:bottom w:val="single" w:sz="4" w:space="0" w:color="auto"/>
              <w:right w:val="single" w:sz="4" w:space="0" w:color="auto"/>
            </w:tcBorders>
            <w:shd w:val="clear" w:color="auto" w:fill="auto"/>
            <w:vAlign w:val="center"/>
          </w:tcPr>
          <w:p w14:paraId="48714D98" w14:textId="77777777" w:rsidR="008D68AB" w:rsidRPr="00EB1979" w:rsidRDefault="008D68AB" w:rsidP="00B5156D">
            <w:pPr>
              <w:jc w:val="center"/>
              <w:rPr>
                <w:sz w:val="20"/>
                <w:lang w:val="en-GB"/>
              </w:rPr>
            </w:pPr>
            <w:r w:rsidRPr="00EB1979">
              <w:rPr>
                <w:sz w:val="20"/>
                <w:lang w:val="en-GB"/>
              </w:rPr>
              <w:t>3,477</w:t>
            </w:r>
          </w:p>
        </w:tc>
        <w:tc>
          <w:tcPr>
            <w:tcW w:w="1007" w:type="dxa"/>
            <w:tcBorders>
              <w:top w:val="nil"/>
              <w:left w:val="nil"/>
              <w:bottom w:val="single" w:sz="4" w:space="0" w:color="auto"/>
              <w:right w:val="single" w:sz="4" w:space="0" w:color="auto"/>
            </w:tcBorders>
            <w:shd w:val="clear" w:color="auto" w:fill="auto"/>
            <w:vAlign w:val="center"/>
          </w:tcPr>
          <w:p w14:paraId="3DBAA4D9" w14:textId="77777777" w:rsidR="008D68AB" w:rsidRPr="00EB1979" w:rsidRDefault="008D68AB" w:rsidP="00B5156D">
            <w:pPr>
              <w:jc w:val="center"/>
              <w:rPr>
                <w:sz w:val="20"/>
                <w:lang w:val="en-GB"/>
              </w:rPr>
            </w:pPr>
            <w:r w:rsidRPr="00EB1979">
              <w:rPr>
                <w:sz w:val="20"/>
                <w:lang w:val="en-GB"/>
              </w:rPr>
              <w:t>266</w:t>
            </w:r>
          </w:p>
        </w:tc>
        <w:tc>
          <w:tcPr>
            <w:tcW w:w="3219" w:type="dxa"/>
            <w:tcBorders>
              <w:top w:val="nil"/>
              <w:left w:val="nil"/>
              <w:bottom w:val="single" w:sz="4" w:space="0" w:color="auto"/>
              <w:right w:val="single" w:sz="4" w:space="0" w:color="auto"/>
            </w:tcBorders>
            <w:shd w:val="clear" w:color="auto" w:fill="auto"/>
            <w:vAlign w:val="center"/>
          </w:tcPr>
          <w:p w14:paraId="3C52F080" w14:textId="77777777" w:rsidR="008D68AB" w:rsidRPr="00EB1979" w:rsidRDefault="008D68AB" w:rsidP="00B5156D">
            <w:pPr>
              <w:rPr>
                <w:i/>
                <w:iCs/>
                <w:sz w:val="20"/>
                <w:lang w:val="en-GB"/>
              </w:rPr>
            </w:pPr>
            <w:r w:rsidRPr="00EB1979">
              <w:rPr>
                <w:bCs/>
                <w:i/>
                <w:iCs/>
                <w:sz w:val="20"/>
                <w:lang w:val="en-GB"/>
              </w:rPr>
              <w:t>EBITDA</w:t>
            </w:r>
            <w:r w:rsidRPr="00EB1979">
              <w:rPr>
                <w:bCs/>
                <w:i/>
                <w:iCs/>
                <w:sz w:val="20"/>
                <w:vertAlign w:val="superscript"/>
                <w:lang w:val="en-GB"/>
              </w:rPr>
              <w:t>1</w:t>
            </w:r>
            <w:r w:rsidRPr="00EB1979">
              <w:rPr>
                <w:bCs/>
                <w:i/>
                <w:iCs/>
                <w:sz w:val="20"/>
                <w:lang w:val="en-GB"/>
              </w:rPr>
              <w:t xml:space="preserve">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54E125E8" w14:textId="77777777" w:rsidR="008D68AB" w:rsidRPr="00EB1979" w:rsidRDefault="008D68AB" w:rsidP="00B5156D">
            <w:pPr>
              <w:jc w:val="center"/>
              <w:rPr>
                <w:sz w:val="20"/>
                <w:lang w:val="en-GB"/>
              </w:rPr>
            </w:pPr>
            <w:r w:rsidRPr="00EB1979">
              <w:rPr>
                <w:sz w:val="20"/>
                <w:lang w:val="en-GB"/>
              </w:rPr>
              <w:t>-11,362</w:t>
            </w:r>
          </w:p>
        </w:tc>
        <w:tc>
          <w:tcPr>
            <w:tcW w:w="1040" w:type="dxa"/>
            <w:tcBorders>
              <w:top w:val="nil"/>
              <w:left w:val="nil"/>
              <w:bottom w:val="single" w:sz="4" w:space="0" w:color="auto"/>
              <w:right w:val="single" w:sz="4" w:space="0" w:color="auto"/>
            </w:tcBorders>
            <w:shd w:val="clear" w:color="auto" w:fill="auto"/>
            <w:vAlign w:val="center"/>
          </w:tcPr>
          <w:p w14:paraId="5C781317" w14:textId="77777777" w:rsidR="008D68AB" w:rsidRPr="00EB1979" w:rsidRDefault="008D68AB" w:rsidP="00B5156D">
            <w:pPr>
              <w:jc w:val="center"/>
              <w:rPr>
                <w:sz w:val="20"/>
                <w:lang w:val="en-GB"/>
              </w:rPr>
            </w:pPr>
            <w:r w:rsidRPr="00EB1979">
              <w:rPr>
                <w:sz w:val="20"/>
                <w:lang w:val="en-GB"/>
              </w:rPr>
              <w:t>259</w:t>
            </w:r>
          </w:p>
        </w:tc>
        <w:tc>
          <w:tcPr>
            <w:tcW w:w="1040" w:type="dxa"/>
            <w:tcBorders>
              <w:top w:val="nil"/>
              <w:left w:val="nil"/>
              <w:bottom w:val="single" w:sz="4" w:space="0" w:color="auto"/>
              <w:right w:val="single" w:sz="4" w:space="0" w:color="auto"/>
            </w:tcBorders>
            <w:shd w:val="clear" w:color="auto" w:fill="auto"/>
            <w:vAlign w:val="center"/>
          </w:tcPr>
          <w:p w14:paraId="05814315" w14:textId="77777777" w:rsidR="008D68AB" w:rsidRPr="00EB1979" w:rsidRDefault="008D68AB" w:rsidP="00B5156D">
            <w:pPr>
              <w:jc w:val="center"/>
              <w:rPr>
                <w:sz w:val="20"/>
                <w:lang w:val="en-GB"/>
              </w:rPr>
            </w:pPr>
            <w:r w:rsidRPr="00EB1979">
              <w:rPr>
                <w:sz w:val="20"/>
                <w:lang w:val="en-GB"/>
              </w:rPr>
              <w:t>-4,192</w:t>
            </w:r>
          </w:p>
        </w:tc>
      </w:tr>
      <w:tr w:rsidR="008D68AB" w:rsidRPr="00EB1979" w14:paraId="014558F5"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09AF59F5" w14:textId="77777777" w:rsidR="008D68AB" w:rsidRPr="00EB1979" w:rsidRDefault="008D68AB" w:rsidP="00B5156D">
            <w:pPr>
              <w:jc w:val="center"/>
              <w:rPr>
                <w:sz w:val="20"/>
                <w:lang w:val="en-GB"/>
              </w:rPr>
            </w:pPr>
            <w:r w:rsidRPr="00EB1979">
              <w:rPr>
                <w:sz w:val="20"/>
                <w:lang w:val="en-GB"/>
              </w:rPr>
              <w:t>-10.58</w:t>
            </w:r>
          </w:p>
        </w:tc>
        <w:tc>
          <w:tcPr>
            <w:tcW w:w="1007" w:type="dxa"/>
            <w:tcBorders>
              <w:top w:val="nil"/>
              <w:left w:val="nil"/>
              <w:bottom w:val="single" w:sz="4" w:space="0" w:color="auto"/>
              <w:right w:val="single" w:sz="4" w:space="0" w:color="auto"/>
            </w:tcBorders>
            <w:shd w:val="clear" w:color="auto" w:fill="auto"/>
            <w:vAlign w:val="center"/>
          </w:tcPr>
          <w:p w14:paraId="271AB691" w14:textId="77777777" w:rsidR="008D68AB" w:rsidRPr="00EB1979" w:rsidRDefault="008D68AB" w:rsidP="00B5156D">
            <w:pPr>
              <w:jc w:val="center"/>
              <w:rPr>
                <w:sz w:val="20"/>
                <w:lang w:val="en-GB"/>
              </w:rPr>
            </w:pPr>
            <w:r w:rsidRPr="00EB1979">
              <w:rPr>
                <w:sz w:val="20"/>
                <w:lang w:val="en-GB"/>
              </w:rPr>
              <w:t>3.53</w:t>
            </w:r>
          </w:p>
        </w:tc>
        <w:tc>
          <w:tcPr>
            <w:tcW w:w="1007" w:type="dxa"/>
            <w:tcBorders>
              <w:top w:val="nil"/>
              <w:left w:val="nil"/>
              <w:bottom w:val="single" w:sz="4" w:space="0" w:color="auto"/>
              <w:right w:val="single" w:sz="4" w:space="0" w:color="auto"/>
            </w:tcBorders>
            <w:shd w:val="clear" w:color="auto" w:fill="auto"/>
            <w:vAlign w:val="center"/>
          </w:tcPr>
          <w:p w14:paraId="46DA92BF" w14:textId="77777777" w:rsidR="008D68AB" w:rsidRPr="00EB1979" w:rsidRDefault="008D68AB" w:rsidP="00B5156D">
            <w:pPr>
              <w:jc w:val="center"/>
              <w:rPr>
                <w:sz w:val="20"/>
                <w:lang w:val="en-GB"/>
              </w:rPr>
            </w:pPr>
            <w:r w:rsidRPr="00EB1979">
              <w:rPr>
                <w:sz w:val="20"/>
                <w:lang w:val="en-GB"/>
              </w:rPr>
              <w:t>0.23</w:t>
            </w:r>
          </w:p>
        </w:tc>
        <w:tc>
          <w:tcPr>
            <w:tcW w:w="3219" w:type="dxa"/>
            <w:tcBorders>
              <w:top w:val="nil"/>
              <w:left w:val="nil"/>
              <w:bottom w:val="single" w:sz="4" w:space="0" w:color="auto"/>
              <w:right w:val="single" w:sz="4" w:space="0" w:color="auto"/>
            </w:tcBorders>
            <w:shd w:val="clear" w:color="auto" w:fill="auto"/>
            <w:vAlign w:val="center"/>
          </w:tcPr>
          <w:p w14:paraId="4A3C7A75" w14:textId="77777777" w:rsidR="008D68AB" w:rsidRPr="00EB1979" w:rsidRDefault="008D68AB" w:rsidP="00B5156D">
            <w:pPr>
              <w:rPr>
                <w:i/>
                <w:iCs/>
                <w:sz w:val="20"/>
                <w:vertAlign w:val="superscript"/>
                <w:lang w:val="it-IT"/>
              </w:rPr>
            </w:pPr>
            <w:r w:rsidRPr="00EB1979">
              <w:rPr>
                <w:i/>
                <w:iCs/>
                <w:sz w:val="20"/>
                <w:lang w:val="it-IT"/>
              </w:rPr>
              <w:t>EBITDA margin (per cents) (API)</w:t>
            </w:r>
          </w:p>
        </w:tc>
        <w:tc>
          <w:tcPr>
            <w:tcW w:w="1040" w:type="dxa"/>
            <w:tcBorders>
              <w:top w:val="nil"/>
              <w:left w:val="nil"/>
              <w:bottom w:val="single" w:sz="4" w:space="0" w:color="auto"/>
              <w:right w:val="single" w:sz="4" w:space="0" w:color="auto"/>
            </w:tcBorders>
            <w:shd w:val="clear" w:color="auto" w:fill="auto"/>
            <w:vAlign w:val="center"/>
          </w:tcPr>
          <w:p w14:paraId="0D32C8E0" w14:textId="77777777" w:rsidR="008D68AB" w:rsidRPr="00EB1979" w:rsidRDefault="008D68AB" w:rsidP="00B5156D">
            <w:pPr>
              <w:jc w:val="center"/>
              <w:rPr>
                <w:sz w:val="20"/>
                <w:lang w:val="en-GB"/>
              </w:rPr>
            </w:pPr>
            <w:r w:rsidRPr="00EB1979">
              <w:rPr>
                <w:sz w:val="20"/>
                <w:lang w:val="en-GB"/>
              </w:rPr>
              <w:t>-19.03</w:t>
            </w:r>
          </w:p>
        </w:tc>
        <w:tc>
          <w:tcPr>
            <w:tcW w:w="1040" w:type="dxa"/>
            <w:tcBorders>
              <w:top w:val="nil"/>
              <w:left w:val="nil"/>
              <w:bottom w:val="single" w:sz="4" w:space="0" w:color="auto"/>
              <w:right w:val="single" w:sz="4" w:space="0" w:color="auto"/>
            </w:tcBorders>
            <w:shd w:val="clear" w:color="auto" w:fill="auto"/>
            <w:vAlign w:val="center"/>
          </w:tcPr>
          <w:p w14:paraId="70510234" w14:textId="77777777" w:rsidR="008D68AB" w:rsidRPr="00EB1979" w:rsidRDefault="008D68AB" w:rsidP="00B5156D">
            <w:pPr>
              <w:jc w:val="center"/>
              <w:rPr>
                <w:sz w:val="20"/>
                <w:lang w:val="en-GB"/>
              </w:rPr>
            </w:pPr>
            <w:r w:rsidRPr="00EB1979">
              <w:rPr>
                <w:sz w:val="20"/>
                <w:lang w:val="en-GB"/>
              </w:rPr>
              <w:t>0.39</w:t>
            </w:r>
          </w:p>
        </w:tc>
        <w:tc>
          <w:tcPr>
            <w:tcW w:w="1040" w:type="dxa"/>
            <w:tcBorders>
              <w:top w:val="nil"/>
              <w:left w:val="nil"/>
              <w:bottom w:val="single" w:sz="4" w:space="0" w:color="auto"/>
              <w:right w:val="single" w:sz="4" w:space="0" w:color="auto"/>
            </w:tcBorders>
            <w:shd w:val="clear" w:color="auto" w:fill="auto"/>
            <w:vAlign w:val="center"/>
          </w:tcPr>
          <w:p w14:paraId="6ECE7402" w14:textId="77777777" w:rsidR="008D68AB" w:rsidRPr="00EB1979" w:rsidRDefault="008D68AB" w:rsidP="00B5156D">
            <w:pPr>
              <w:jc w:val="center"/>
              <w:rPr>
                <w:sz w:val="20"/>
                <w:lang w:val="en-GB"/>
              </w:rPr>
            </w:pPr>
            <w:r w:rsidRPr="00EB1979">
              <w:rPr>
                <w:sz w:val="20"/>
                <w:lang w:val="en-GB"/>
              </w:rPr>
              <w:t>-5.29</w:t>
            </w:r>
          </w:p>
        </w:tc>
      </w:tr>
      <w:tr w:rsidR="008D68AB" w:rsidRPr="00EB1979" w14:paraId="02CC0490"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5C725597" w14:textId="77777777" w:rsidR="008D68AB" w:rsidRPr="00EB1979" w:rsidRDefault="008D68AB" w:rsidP="00B5156D">
            <w:pPr>
              <w:jc w:val="center"/>
              <w:rPr>
                <w:sz w:val="20"/>
                <w:lang w:val="en-GB"/>
              </w:rPr>
            </w:pPr>
            <w:r w:rsidRPr="00EB1979">
              <w:rPr>
                <w:sz w:val="20"/>
                <w:lang w:val="en-GB"/>
              </w:rPr>
              <w:t>-10,431</w:t>
            </w:r>
          </w:p>
        </w:tc>
        <w:tc>
          <w:tcPr>
            <w:tcW w:w="1007" w:type="dxa"/>
            <w:tcBorders>
              <w:top w:val="nil"/>
              <w:left w:val="nil"/>
              <w:bottom w:val="single" w:sz="4" w:space="0" w:color="auto"/>
              <w:right w:val="single" w:sz="4" w:space="0" w:color="auto"/>
            </w:tcBorders>
            <w:shd w:val="clear" w:color="auto" w:fill="auto"/>
            <w:vAlign w:val="center"/>
          </w:tcPr>
          <w:p w14:paraId="294A709A" w14:textId="77777777" w:rsidR="008D68AB" w:rsidRPr="00EB1979" w:rsidRDefault="008D68AB" w:rsidP="00B5156D">
            <w:pPr>
              <w:jc w:val="center"/>
              <w:rPr>
                <w:sz w:val="20"/>
                <w:lang w:val="en-GB"/>
              </w:rPr>
            </w:pPr>
            <w:r w:rsidRPr="00EB1979">
              <w:rPr>
                <w:sz w:val="20"/>
                <w:lang w:val="en-GB"/>
              </w:rPr>
              <w:t>3.499</w:t>
            </w:r>
          </w:p>
        </w:tc>
        <w:tc>
          <w:tcPr>
            <w:tcW w:w="1007" w:type="dxa"/>
            <w:tcBorders>
              <w:top w:val="nil"/>
              <w:left w:val="nil"/>
              <w:bottom w:val="single" w:sz="4" w:space="0" w:color="auto"/>
              <w:right w:val="single" w:sz="4" w:space="0" w:color="auto"/>
            </w:tcBorders>
            <w:shd w:val="clear" w:color="auto" w:fill="auto"/>
            <w:vAlign w:val="center"/>
          </w:tcPr>
          <w:p w14:paraId="27CE94B8" w14:textId="77777777" w:rsidR="008D68AB" w:rsidRPr="00EB1979" w:rsidRDefault="008D68AB" w:rsidP="00B5156D">
            <w:pPr>
              <w:jc w:val="center"/>
              <w:rPr>
                <w:sz w:val="20"/>
                <w:lang w:val="en-GB"/>
              </w:rPr>
            </w:pPr>
            <w:r w:rsidRPr="00EB1979">
              <w:rPr>
                <w:sz w:val="20"/>
                <w:lang w:val="en-GB"/>
              </w:rPr>
              <w:t>525</w:t>
            </w:r>
          </w:p>
        </w:tc>
        <w:tc>
          <w:tcPr>
            <w:tcW w:w="3219" w:type="dxa"/>
            <w:tcBorders>
              <w:top w:val="nil"/>
              <w:left w:val="nil"/>
              <w:bottom w:val="single" w:sz="4" w:space="0" w:color="auto"/>
              <w:right w:val="single" w:sz="4" w:space="0" w:color="auto"/>
            </w:tcBorders>
            <w:shd w:val="clear" w:color="auto" w:fill="auto"/>
            <w:vAlign w:val="center"/>
          </w:tcPr>
          <w:p w14:paraId="3B2C2957" w14:textId="77777777" w:rsidR="008D68AB" w:rsidRPr="00EB1979" w:rsidRDefault="008D68AB" w:rsidP="00B5156D">
            <w:pPr>
              <w:rPr>
                <w:i/>
                <w:iCs/>
                <w:sz w:val="20"/>
                <w:lang w:val="en-GB"/>
              </w:rPr>
            </w:pPr>
            <w:r w:rsidRPr="00EB1979">
              <w:rPr>
                <w:i/>
                <w:iCs/>
                <w:sz w:val="20"/>
                <w:lang w:val="en-GB"/>
              </w:rPr>
              <w:t>Net profit (API)</w:t>
            </w:r>
          </w:p>
        </w:tc>
        <w:tc>
          <w:tcPr>
            <w:tcW w:w="1040" w:type="dxa"/>
            <w:tcBorders>
              <w:top w:val="nil"/>
              <w:left w:val="nil"/>
              <w:bottom w:val="single" w:sz="4" w:space="0" w:color="auto"/>
              <w:right w:val="single" w:sz="4" w:space="0" w:color="auto"/>
            </w:tcBorders>
            <w:shd w:val="clear" w:color="auto" w:fill="auto"/>
            <w:vAlign w:val="center"/>
          </w:tcPr>
          <w:p w14:paraId="283AC7EC" w14:textId="77777777" w:rsidR="008D68AB" w:rsidRPr="00EB1979" w:rsidRDefault="008D68AB" w:rsidP="00B5156D">
            <w:pPr>
              <w:jc w:val="center"/>
              <w:rPr>
                <w:sz w:val="20"/>
                <w:lang w:val="en-GB"/>
              </w:rPr>
            </w:pPr>
            <w:r w:rsidRPr="00EB1979">
              <w:rPr>
                <w:sz w:val="20"/>
                <w:lang w:val="en-GB"/>
              </w:rPr>
              <w:t>-12,418</w:t>
            </w:r>
          </w:p>
        </w:tc>
        <w:tc>
          <w:tcPr>
            <w:tcW w:w="1040" w:type="dxa"/>
            <w:tcBorders>
              <w:top w:val="nil"/>
              <w:left w:val="nil"/>
              <w:bottom w:val="single" w:sz="4" w:space="0" w:color="auto"/>
              <w:right w:val="single" w:sz="4" w:space="0" w:color="auto"/>
            </w:tcBorders>
            <w:shd w:val="clear" w:color="auto" w:fill="auto"/>
            <w:vAlign w:val="center"/>
          </w:tcPr>
          <w:p w14:paraId="72146FFD" w14:textId="77777777" w:rsidR="008D68AB" w:rsidRPr="00EB1979" w:rsidRDefault="008D68AB" w:rsidP="00B5156D">
            <w:pPr>
              <w:jc w:val="center"/>
              <w:rPr>
                <w:sz w:val="20"/>
                <w:lang w:val="en-GB"/>
              </w:rPr>
            </w:pPr>
            <w:r w:rsidRPr="00EB1979">
              <w:rPr>
                <w:sz w:val="20"/>
                <w:lang w:val="en-GB"/>
              </w:rPr>
              <w:t>304</w:t>
            </w:r>
          </w:p>
        </w:tc>
        <w:tc>
          <w:tcPr>
            <w:tcW w:w="1040" w:type="dxa"/>
            <w:tcBorders>
              <w:top w:val="nil"/>
              <w:left w:val="nil"/>
              <w:bottom w:val="single" w:sz="4" w:space="0" w:color="auto"/>
              <w:right w:val="single" w:sz="4" w:space="0" w:color="auto"/>
            </w:tcBorders>
            <w:shd w:val="clear" w:color="auto" w:fill="auto"/>
            <w:vAlign w:val="center"/>
          </w:tcPr>
          <w:p w14:paraId="15193326" w14:textId="77777777" w:rsidR="008D68AB" w:rsidRPr="00EB1979" w:rsidRDefault="008D68AB" w:rsidP="00B5156D">
            <w:pPr>
              <w:jc w:val="center"/>
              <w:rPr>
                <w:sz w:val="20"/>
                <w:lang w:val="en-GB"/>
              </w:rPr>
            </w:pPr>
            <w:r w:rsidRPr="00EB1979">
              <w:rPr>
                <w:sz w:val="20"/>
                <w:lang w:val="en-GB"/>
              </w:rPr>
              <w:t>-1,720</w:t>
            </w:r>
          </w:p>
        </w:tc>
      </w:tr>
      <w:tr w:rsidR="008D68AB" w:rsidRPr="00EB1979" w14:paraId="2CFC59B3"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67D7ADED" w14:textId="77777777" w:rsidR="008D68AB" w:rsidRPr="00EB1979" w:rsidRDefault="008D68AB" w:rsidP="00B5156D">
            <w:pPr>
              <w:jc w:val="center"/>
              <w:rPr>
                <w:sz w:val="20"/>
                <w:lang w:val="en-GB"/>
              </w:rPr>
            </w:pPr>
            <w:r w:rsidRPr="00EB1979">
              <w:rPr>
                <w:sz w:val="20"/>
                <w:lang w:val="en-GB"/>
              </w:rPr>
              <w:t>-13.92</w:t>
            </w:r>
          </w:p>
        </w:tc>
        <w:tc>
          <w:tcPr>
            <w:tcW w:w="1007" w:type="dxa"/>
            <w:tcBorders>
              <w:top w:val="nil"/>
              <w:left w:val="nil"/>
              <w:bottom w:val="single" w:sz="4" w:space="0" w:color="auto"/>
              <w:right w:val="single" w:sz="4" w:space="0" w:color="auto"/>
            </w:tcBorders>
            <w:shd w:val="clear" w:color="auto" w:fill="auto"/>
            <w:vAlign w:val="center"/>
          </w:tcPr>
          <w:p w14:paraId="58383DFB" w14:textId="77777777" w:rsidR="008D68AB" w:rsidRPr="00EB1979" w:rsidRDefault="008D68AB" w:rsidP="00B5156D">
            <w:pPr>
              <w:jc w:val="center"/>
              <w:rPr>
                <w:sz w:val="20"/>
                <w:lang w:val="en-GB"/>
              </w:rPr>
            </w:pPr>
            <w:r w:rsidRPr="00EB1979">
              <w:rPr>
                <w:sz w:val="20"/>
                <w:lang w:val="en-GB"/>
              </w:rPr>
              <w:t>3.55</w:t>
            </w:r>
          </w:p>
        </w:tc>
        <w:tc>
          <w:tcPr>
            <w:tcW w:w="1007" w:type="dxa"/>
            <w:tcBorders>
              <w:top w:val="nil"/>
              <w:left w:val="nil"/>
              <w:bottom w:val="single" w:sz="4" w:space="0" w:color="auto"/>
              <w:right w:val="single" w:sz="4" w:space="0" w:color="auto"/>
            </w:tcBorders>
            <w:shd w:val="clear" w:color="auto" w:fill="auto"/>
            <w:vAlign w:val="center"/>
          </w:tcPr>
          <w:p w14:paraId="00AEB1B6" w14:textId="77777777" w:rsidR="008D68AB" w:rsidRPr="00EB1979" w:rsidRDefault="008D68AB" w:rsidP="00B5156D">
            <w:pPr>
              <w:jc w:val="center"/>
              <w:rPr>
                <w:sz w:val="20"/>
                <w:lang w:val="en-GB"/>
              </w:rPr>
            </w:pPr>
            <w:r w:rsidRPr="00EB1979">
              <w:rPr>
                <w:sz w:val="20"/>
                <w:lang w:val="en-GB"/>
              </w:rPr>
              <w:t>0.45</w:t>
            </w:r>
          </w:p>
        </w:tc>
        <w:tc>
          <w:tcPr>
            <w:tcW w:w="3219" w:type="dxa"/>
            <w:tcBorders>
              <w:top w:val="nil"/>
              <w:left w:val="nil"/>
              <w:bottom w:val="single" w:sz="4" w:space="0" w:color="auto"/>
              <w:right w:val="single" w:sz="4" w:space="0" w:color="auto"/>
            </w:tcBorders>
            <w:shd w:val="clear" w:color="auto" w:fill="auto"/>
            <w:vAlign w:val="center"/>
          </w:tcPr>
          <w:p w14:paraId="48E43955" w14:textId="77777777" w:rsidR="008D68AB" w:rsidRPr="00EB1979" w:rsidRDefault="008D68AB" w:rsidP="00B5156D">
            <w:pPr>
              <w:rPr>
                <w:i/>
                <w:iCs/>
                <w:sz w:val="20"/>
                <w:lang w:val="en-GB"/>
              </w:rPr>
            </w:pPr>
            <w:r w:rsidRPr="00EB1979">
              <w:rPr>
                <w:i/>
                <w:iCs/>
                <w:sz w:val="20"/>
                <w:lang w:val="en-GB"/>
              </w:rPr>
              <w:t>Nets profit (loss) margin (per cents)</w:t>
            </w:r>
          </w:p>
        </w:tc>
        <w:tc>
          <w:tcPr>
            <w:tcW w:w="1040" w:type="dxa"/>
            <w:tcBorders>
              <w:top w:val="nil"/>
              <w:left w:val="nil"/>
              <w:bottom w:val="single" w:sz="4" w:space="0" w:color="auto"/>
              <w:right w:val="single" w:sz="4" w:space="0" w:color="auto"/>
            </w:tcBorders>
            <w:shd w:val="clear" w:color="auto" w:fill="auto"/>
            <w:vAlign w:val="center"/>
          </w:tcPr>
          <w:p w14:paraId="76783DC8" w14:textId="77777777" w:rsidR="008D68AB" w:rsidRPr="00EB1979" w:rsidRDefault="008D68AB" w:rsidP="00B5156D">
            <w:pPr>
              <w:jc w:val="center"/>
              <w:rPr>
                <w:sz w:val="20"/>
                <w:lang w:val="en-GB"/>
              </w:rPr>
            </w:pPr>
            <w:r w:rsidRPr="00EB1979">
              <w:rPr>
                <w:sz w:val="20"/>
                <w:lang w:val="en-GB"/>
              </w:rPr>
              <w:t>-20.80</w:t>
            </w:r>
          </w:p>
        </w:tc>
        <w:tc>
          <w:tcPr>
            <w:tcW w:w="1040" w:type="dxa"/>
            <w:tcBorders>
              <w:top w:val="nil"/>
              <w:left w:val="nil"/>
              <w:bottom w:val="single" w:sz="4" w:space="0" w:color="auto"/>
              <w:right w:val="single" w:sz="4" w:space="0" w:color="auto"/>
            </w:tcBorders>
            <w:shd w:val="clear" w:color="auto" w:fill="auto"/>
            <w:vAlign w:val="center"/>
          </w:tcPr>
          <w:p w14:paraId="7DE70708" w14:textId="77777777" w:rsidR="008D68AB" w:rsidRPr="00EB1979" w:rsidRDefault="008D68AB" w:rsidP="00B5156D">
            <w:pPr>
              <w:jc w:val="center"/>
              <w:rPr>
                <w:sz w:val="20"/>
                <w:lang w:val="en-GB"/>
              </w:rPr>
            </w:pPr>
            <w:r w:rsidRPr="00EB1979">
              <w:rPr>
                <w:sz w:val="20"/>
                <w:lang w:val="en-GB"/>
              </w:rPr>
              <w:t>0.46</w:t>
            </w:r>
          </w:p>
        </w:tc>
        <w:tc>
          <w:tcPr>
            <w:tcW w:w="1040" w:type="dxa"/>
            <w:tcBorders>
              <w:top w:val="nil"/>
              <w:left w:val="nil"/>
              <w:bottom w:val="single" w:sz="4" w:space="0" w:color="auto"/>
              <w:right w:val="single" w:sz="4" w:space="0" w:color="auto"/>
            </w:tcBorders>
            <w:shd w:val="clear" w:color="auto" w:fill="auto"/>
            <w:vAlign w:val="center"/>
          </w:tcPr>
          <w:p w14:paraId="2305B4F8" w14:textId="77777777" w:rsidR="008D68AB" w:rsidRPr="00EB1979" w:rsidRDefault="008D68AB" w:rsidP="00B5156D">
            <w:pPr>
              <w:jc w:val="center"/>
              <w:rPr>
                <w:sz w:val="20"/>
                <w:lang w:val="en-GB"/>
              </w:rPr>
            </w:pPr>
            <w:r w:rsidRPr="00EB1979">
              <w:rPr>
                <w:sz w:val="20"/>
                <w:lang w:val="en-GB"/>
              </w:rPr>
              <w:t>-2.17</w:t>
            </w:r>
          </w:p>
        </w:tc>
      </w:tr>
      <w:tr w:rsidR="008D68AB" w:rsidRPr="00EB1979" w14:paraId="2EA11C04" w14:textId="77777777" w:rsidTr="00B5156D">
        <w:trPr>
          <w:trHeight w:val="567"/>
        </w:trPr>
        <w:tc>
          <w:tcPr>
            <w:tcW w:w="1007" w:type="dxa"/>
            <w:tcBorders>
              <w:top w:val="nil"/>
              <w:left w:val="single" w:sz="4" w:space="0" w:color="auto"/>
              <w:bottom w:val="single" w:sz="4" w:space="0" w:color="auto"/>
              <w:right w:val="single" w:sz="4" w:space="0" w:color="auto"/>
            </w:tcBorders>
            <w:shd w:val="clear" w:color="auto" w:fill="auto"/>
            <w:vAlign w:val="center"/>
          </w:tcPr>
          <w:p w14:paraId="6809E611" w14:textId="77777777" w:rsidR="008D68AB" w:rsidRPr="00EB1979" w:rsidRDefault="008D68AB" w:rsidP="00B5156D">
            <w:pPr>
              <w:jc w:val="center"/>
              <w:rPr>
                <w:sz w:val="20"/>
                <w:lang w:val="en-GB"/>
              </w:rPr>
            </w:pPr>
            <w:r w:rsidRPr="00EB1979">
              <w:rPr>
                <w:sz w:val="20"/>
                <w:lang w:val="en-GB"/>
              </w:rPr>
              <w:t>-0.638</w:t>
            </w:r>
          </w:p>
        </w:tc>
        <w:tc>
          <w:tcPr>
            <w:tcW w:w="1007" w:type="dxa"/>
            <w:tcBorders>
              <w:top w:val="nil"/>
              <w:left w:val="nil"/>
              <w:bottom w:val="single" w:sz="4" w:space="0" w:color="auto"/>
              <w:right w:val="single" w:sz="4" w:space="0" w:color="auto"/>
            </w:tcBorders>
            <w:shd w:val="clear" w:color="auto" w:fill="auto"/>
            <w:vAlign w:val="center"/>
          </w:tcPr>
          <w:p w14:paraId="5ECC034C" w14:textId="77777777" w:rsidR="008D68AB" w:rsidRPr="00EB1979" w:rsidRDefault="008D68AB" w:rsidP="00B5156D">
            <w:pPr>
              <w:jc w:val="center"/>
              <w:rPr>
                <w:sz w:val="20"/>
                <w:lang w:val="en-GB"/>
              </w:rPr>
            </w:pPr>
            <w:r w:rsidRPr="00EB1979">
              <w:rPr>
                <w:sz w:val="20"/>
                <w:lang w:val="en-GB"/>
              </w:rPr>
              <w:t>0.214</w:t>
            </w:r>
          </w:p>
        </w:tc>
        <w:tc>
          <w:tcPr>
            <w:tcW w:w="1007" w:type="dxa"/>
            <w:tcBorders>
              <w:top w:val="nil"/>
              <w:left w:val="nil"/>
              <w:bottom w:val="single" w:sz="4" w:space="0" w:color="auto"/>
              <w:right w:val="single" w:sz="4" w:space="0" w:color="auto"/>
            </w:tcBorders>
            <w:shd w:val="clear" w:color="auto" w:fill="auto"/>
            <w:vAlign w:val="center"/>
          </w:tcPr>
          <w:p w14:paraId="53A774BE" w14:textId="77777777" w:rsidR="008D68AB" w:rsidRPr="00EB1979" w:rsidRDefault="008D68AB" w:rsidP="00B5156D">
            <w:pPr>
              <w:jc w:val="center"/>
              <w:rPr>
                <w:sz w:val="20"/>
                <w:lang w:val="en-GB"/>
              </w:rPr>
            </w:pPr>
            <w:r w:rsidRPr="00EB1979">
              <w:rPr>
                <w:sz w:val="20"/>
                <w:lang w:val="en-GB"/>
              </w:rPr>
              <w:t>0.032</w:t>
            </w:r>
          </w:p>
        </w:tc>
        <w:tc>
          <w:tcPr>
            <w:tcW w:w="3219" w:type="dxa"/>
            <w:tcBorders>
              <w:top w:val="nil"/>
              <w:left w:val="nil"/>
              <w:bottom w:val="single" w:sz="4" w:space="0" w:color="auto"/>
              <w:right w:val="single" w:sz="4" w:space="0" w:color="auto"/>
            </w:tcBorders>
            <w:shd w:val="clear" w:color="auto" w:fill="auto"/>
            <w:vAlign w:val="center"/>
          </w:tcPr>
          <w:p w14:paraId="5A3679B5" w14:textId="77777777" w:rsidR="008D68AB" w:rsidRPr="00EB1979" w:rsidRDefault="008D68AB" w:rsidP="00B5156D">
            <w:pPr>
              <w:rPr>
                <w:i/>
                <w:iCs/>
                <w:sz w:val="20"/>
                <w:lang w:val="en-GB"/>
              </w:rPr>
            </w:pPr>
            <w:r w:rsidRPr="00EB1979">
              <w:rPr>
                <w:i/>
                <w:iCs/>
                <w:sz w:val="20"/>
                <w:lang w:val="en-GB"/>
              </w:rPr>
              <w:t>Earnings per share (Euros) (EPS)</w:t>
            </w:r>
            <w:r w:rsidRPr="00EB1979">
              <w:rPr>
                <w:i/>
                <w:iCs/>
                <w:sz w:val="20"/>
                <w:vertAlign w:val="superscript"/>
                <w:lang w:val="en-GB"/>
              </w:rPr>
              <w:t>2</w:t>
            </w:r>
            <w:r w:rsidRPr="00EB1979">
              <w:rPr>
                <w:i/>
                <w:iCs/>
                <w:sz w:val="20"/>
                <w:lang w:val="en-GB"/>
              </w:rPr>
              <w:t xml:space="preserve"> (API)</w:t>
            </w:r>
          </w:p>
        </w:tc>
        <w:tc>
          <w:tcPr>
            <w:tcW w:w="1040" w:type="dxa"/>
            <w:tcBorders>
              <w:top w:val="nil"/>
              <w:left w:val="nil"/>
              <w:bottom w:val="single" w:sz="4" w:space="0" w:color="auto"/>
              <w:right w:val="single" w:sz="4" w:space="0" w:color="auto"/>
            </w:tcBorders>
            <w:shd w:val="clear" w:color="auto" w:fill="auto"/>
            <w:vAlign w:val="center"/>
          </w:tcPr>
          <w:p w14:paraId="76E8090A" w14:textId="77777777" w:rsidR="008D68AB" w:rsidRPr="00EB1979" w:rsidRDefault="008D68AB" w:rsidP="00B5156D">
            <w:pPr>
              <w:jc w:val="center"/>
              <w:rPr>
                <w:sz w:val="20"/>
                <w:lang w:val="en-GB"/>
              </w:rPr>
            </w:pPr>
            <w:r w:rsidRPr="00EB1979">
              <w:rPr>
                <w:sz w:val="20"/>
                <w:lang w:val="en-GB"/>
              </w:rPr>
              <w:t>-0.76</w:t>
            </w:r>
          </w:p>
        </w:tc>
        <w:tc>
          <w:tcPr>
            <w:tcW w:w="1040" w:type="dxa"/>
            <w:tcBorders>
              <w:top w:val="nil"/>
              <w:left w:val="nil"/>
              <w:bottom w:val="single" w:sz="4" w:space="0" w:color="auto"/>
              <w:right w:val="single" w:sz="4" w:space="0" w:color="auto"/>
            </w:tcBorders>
            <w:shd w:val="clear" w:color="auto" w:fill="auto"/>
            <w:vAlign w:val="center"/>
          </w:tcPr>
          <w:p w14:paraId="3EAFC13D" w14:textId="77777777" w:rsidR="008D68AB" w:rsidRPr="00EB1979" w:rsidRDefault="008D68AB" w:rsidP="00B5156D">
            <w:pPr>
              <w:jc w:val="center"/>
              <w:rPr>
                <w:sz w:val="20"/>
                <w:lang w:val="en-GB"/>
              </w:rPr>
            </w:pPr>
            <w:r w:rsidRPr="00EB1979">
              <w:rPr>
                <w:sz w:val="20"/>
                <w:lang w:val="en-GB"/>
              </w:rPr>
              <w:t>0.019</w:t>
            </w:r>
          </w:p>
        </w:tc>
        <w:tc>
          <w:tcPr>
            <w:tcW w:w="1040" w:type="dxa"/>
            <w:tcBorders>
              <w:top w:val="nil"/>
              <w:left w:val="nil"/>
              <w:bottom w:val="single" w:sz="4" w:space="0" w:color="auto"/>
              <w:right w:val="single" w:sz="4" w:space="0" w:color="auto"/>
            </w:tcBorders>
            <w:shd w:val="clear" w:color="auto" w:fill="auto"/>
            <w:vAlign w:val="center"/>
          </w:tcPr>
          <w:p w14:paraId="77951DB2" w14:textId="77777777" w:rsidR="008D68AB" w:rsidRPr="00EB1979" w:rsidRDefault="008D68AB" w:rsidP="00B5156D">
            <w:pPr>
              <w:jc w:val="center"/>
              <w:rPr>
                <w:sz w:val="20"/>
                <w:lang w:val="en-GB"/>
              </w:rPr>
            </w:pPr>
            <w:r w:rsidRPr="00EB1979">
              <w:rPr>
                <w:sz w:val="20"/>
                <w:lang w:val="en-GB"/>
              </w:rPr>
              <w:t>-0.105</w:t>
            </w:r>
          </w:p>
        </w:tc>
      </w:tr>
      <w:tr w:rsidR="008D68AB" w:rsidRPr="00EB1979" w14:paraId="34C92473" w14:textId="77777777" w:rsidTr="00B5156D">
        <w:trPr>
          <w:trHeight w:val="567"/>
        </w:trPr>
        <w:tc>
          <w:tcPr>
            <w:tcW w:w="1007" w:type="dxa"/>
            <w:tcBorders>
              <w:top w:val="nil"/>
              <w:left w:val="single" w:sz="4" w:space="0" w:color="auto"/>
              <w:bottom w:val="single" w:sz="4" w:space="0" w:color="auto"/>
              <w:right w:val="single" w:sz="4" w:space="0" w:color="auto"/>
            </w:tcBorders>
            <w:shd w:val="clear" w:color="auto" w:fill="auto"/>
            <w:vAlign w:val="center"/>
          </w:tcPr>
          <w:p w14:paraId="75BCA416" w14:textId="77777777" w:rsidR="008D68AB" w:rsidRPr="00EB1979" w:rsidRDefault="008D68AB" w:rsidP="00B5156D">
            <w:pPr>
              <w:jc w:val="center"/>
              <w:rPr>
                <w:sz w:val="20"/>
                <w:lang w:val="en-GB"/>
              </w:rPr>
            </w:pPr>
            <w:r w:rsidRPr="00EB1979">
              <w:rPr>
                <w:sz w:val="20"/>
                <w:lang w:val="en-GB"/>
              </w:rPr>
              <w:t>-34,40</w:t>
            </w:r>
          </w:p>
        </w:tc>
        <w:tc>
          <w:tcPr>
            <w:tcW w:w="1007" w:type="dxa"/>
            <w:tcBorders>
              <w:top w:val="nil"/>
              <w:left w:val="nil"/>
              <w:bottom w:val="single" w:sz="4" w:space="0" w:color="auto"/>
              <w:right w:val="single" w:sz="4" w:space="0" w:color="auto"/>
            </w:tcBorders>
            <w:shd w:val="clear" w:color="auto" w:fill="auto"/>
            <w:vAlign w:val="center"/>
          </w:tcPr>
          <w:p w14:paraId="60EFC9A4" w14:textId="77777777" w:rsidR="008D68AB" w:rsidRPr="00EB1979" w:rsidRDefault="008D68AB" w:rsidP="00B5156D">
            <w:pPr>
              <w:jc w:val="center"/>
              <w:rPr>
                <w:sz w:val="20"/>
                <w:lang w:val="en-GB"/>
              </w:rPr>
            </w:pPr>
            <w:r w:rsidRPr="00EB1979">
              <w:rPr>
                <w:sz w:val="20"/>
                <w:lang w:val="en-GB"/>
              </w:rPr>
              <w:t>12.58</w:t>
            </w:r>
          </w:p>
        </w:tc>
        <w:tc>
          <w:tcPr>
            <w:tcW w:w="1007" w:type="dxa"/>
            <w:tcBorders>
              <w:top w:val="nil"/>
              <w:left w:val="nil"/>
              <w:bottom w:val="single" w:sz="4" w:space="0" w:color="auto"/>
              <w:right w:val="single" w:sz="4" w:space="0" w:color="auto"/>
            </w:tcBorders>
            <w:shd w:val="clear" w:color="auto" w:fill="auto"/>
            <w:vAlign w:val="center"/>
          </w:tcPr>
          <w:p w14:paraId="6A1776E9" w14:textId="77777777" w:rsidR="008D68AB" w:rsidRPr="00EB1979" w:rsidRDefault="008D68AB" w:rsidP="00B5156D">
            <w:pPr>
              <w:jc w:val="center"/>
              <w:rPr>
                <w:sz w:val="20"/>
                <w:lang w:val="en-GB"/>
              </w:rPr>
            </w:pPr>
            <w:r w:rsidRPr="00EB1979">
              <w:rPr>
                <w:sz w:val="20"/>
                <w:lang w:val="en-GB"/>
              </w:rPr>
              <w:t>1.75</w:t>
            </w:r>
          </w:p>
        </w:tc>
        <w:tc>
          <w:tcPr>
            <w:tcW w:w="3219" w:type="dxa"/>
            <w:tcBorders>
              <w:top w:val="nil"/>
              <w:left w:val="nil"/>
              <w:bottom w:val="single" w:sz="4" w:space="0" w:color="auto"/>
              <w:right w:val="single" w:sz="4" w:space="0" w:color="auto"/>
            </w:tcBorders>
            <w:shd w:val="clear" w:color="000000" w:fill="FFFFFF"/>
            <w:vAlign w:val="center"/>
          </w:tcPr>
          <w:p w14:paraId="2139BCC9" w14:textId="77777777" w:rsidR="008D68AB" w:rsidRPr="00EB1979" w:rsidRDefault="008D68AB" w:rsidP="00B5156D">
            <w:pPr>
              <w:rPr>
                <w:i/>
                <w:iCs/>
                <w:sz w:val="20"/>
                <w:lang w:val="en-GB"/>
              </w:rPr>
            </w:pPr>
            <w:r w:rsidRPr="00EB1979">
              <w:rPr>
                <w:i/>
                <w:iCs/>
                <w:sz w:val="20"/>
                <w:lang w:val="en-GB"/>
              </w:rPr>
              <w:t>Return on equity (per cents) (</w:t>
            </w:r>
            <w:r w:rsidRPr="00EB1979">
              <w:rPr>
                <w:bCs/>
                <w:i/>
                <w:iCs/>
                <w:sz w:val="20"/>
                <w:lang w:val="en-GB"/>
              </w:rPr>
              <w:t>ROE)</w:t>
            </w:r>
            <w:r w:rsidRPr="00EB1979">
              <w:rPr>
                <w:bCs/>
                <w:i/>
                <w:iCs/>
                <w:sz w:val="20"/>
                <w:vertAlign w:val="superscript"/>
                <w:lang w:val="en-GB"/>
              </w:rPr>
              <w:t xml:space="preserve">3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3F0C3353" w14:textId="77777777" w:rsidR="008D68AB" w:rsidRPr="00EB1979" w:rsidRDefault="008D68AB" w:rsidP="00B5156D">
            <w:pPr>
              <w:jc w:val="center"/>
              <w:rPr>
                <w:sz w:val="20"/>
                <w:lang w:val="en-GB"/>
              </w:rPr>
            </w:pPr>
            <w:r w:rsidRPr="00EB1979">
              <w:rPr>
                <w:sz w:val="20"/>
                <w:lang w:val="en-GB"/>
              </w:rPr>
              <w:t>-43.89</w:t>
            </w:r>
          </w:p>
        </w:tc>
        <w:tc>
          <w:tcPr>
            <w:tcW w:w="1040" w:type="dxa"/>
            <w:tcBorders>
              <w:top w:val="nil"/>
              <w:left w:val="nil"/>
              <w:bottom w:val="single" w:sz="4" w:space="0" w:color="auto"/>
              <w:right w:val="single" w:sz="4" w:space="0" w:color="auto"/>
            </w:tcBorders>
            <w:shd w:val="clear" w:color="auto" w:fill="auto"/>
            <w:vAlign w:val="center"/>
          </w:tcPr>
          <w:p w14:paraId="5219DBDB" w14:textId="77777777" w:rsidR="008D68AB" w:rsidRPr="00EB1979" w:rsidRDefault="008D68AB" w:rsidP="00B5156D">
            <w:pPr>
              <w:jc w:val="center"/>
              <w:rPr>
                <w:sz w:val="20"/>
                <w:lang w:val="en-GB"/>
              </w:rPr>
            </w:pPr>
            <w:r w:rsidRPr="00EB1979">
              <w:rPr>
                <w:sz w:val="20"/>
                <w:lang w:val="en-GB"/>
              </w:rPr>
              <w:t>1.38</w:t>
            </w:r>
          </w:p>
        </w:tc>
        <w:tc>
          <w:tcPr>
            <w:tcW w:w="1040" w:type="dxa"/>
            <w:tcBorders>
              <w:top w:val="nil"/>
              <w:left w:val="nil"/>
              <w:bottom w:val="single" w:sz="4" w:space="0" w:color="auto"/>
              <w:right w:val="single" w:sz="4" w:space="0" w:color="auto"/>
            </w:tcBorders>
            <w:shd w:val="clear" w:color="auto" w:fill="auto"/>
            <w:vAlign w:val="center"/>
          </w:tcPr>
          <w:p w14:paraId="45143F31" w14:textId="77777777" w:rsidR="008D68AB" w:rsidRPr="00EB1979" w:rsidRDefault="008D68AB" w:rsidP="00B5156D">
            <w:pPr>
              <w:jc w:val="center"/>
              <w:rPr>
                <w:sz w:val="20"/>
                <w:lang w:val="en-GB"/>
              </w:rPr>
            </w:pPr>
            <w:r w:rsidRPr="00EB1979">
              <w:rPr>
                <w:sz w:val="20"/>
                <w:lang w:val="en-GB"/>
              </w:rPr>
              <w:t>-7.89</w:t>
            </w:r>
          </w:p>
        </w:tc>
      </w:tr>
      <w:tr w:rsidR="008D68AB" w:rsidRPr="00EB1979" w14:paraId="678086E8" w14:textId="77777777" w:rsidTr="00B5156D">
        <w:trPr>
          <w:trHeight w:val="567"/>
        </w:trPr>
        <w:tc>
          <w:tcPr>
            <w:tcW w:w="1007" w:type="dxa"/>
            <w:tcBorders>
              <w:top w:val="nil"/>
              <w:left w:val="single" w:sz="4" w:space="0" w:color="auto"/>
              <w:bottom w:val="single" w:sz="4" w:space="0" w:color="auto"/>
              <w:right w:val="single" w:sz="4" w:space="0" w:color="auto"/>
            </w:tcBorders>
            <w:shd w:val="clear" w:color="auto" w:fill="auto"/>
            <w:vAlign w:val="center"/>
          </w:tcPr>
          <w:p w14:paraId="23882DF7" w14:textId="77777777" w:rsidR="008D68AB" w:rsidRPr="00EB1979" w:rsidRDefault="008D68AB" w:rsidP="00B5156D">
            <w:pPr>
              <w:jc w:val="center"/>
              <w:rPr>
                <w:sz w:val="20"/>
                <w:lang w:val="en-GB"/>
              </w:rPr>
            </w:pPr>
            <w:r w:rsidRPr="00EB1979">
              <w:rPr>
                <w:sz w:val="20"/>
                <w:lang w:val="en-GB"/>
              </w:rPr>
              <w:t>-13.99</w:t>
            </w:r>
          </w:p>
        </w:tc>
        <w:tc>
          <w:tcPr>
            <w:tcW w:w="1007" w:type="dxa"/>
            <w:tcBorders>
              <w:top w:val="nil"/>
              <w:left w:val="nil"/>
              <w:bottom w:val="single" w:sz="4" w:space="0" w:color="auto"/>
              <w:right w:val="single" w:sz="4" w:space="0" w:color="auto"/>
            </w:tcBorders>
            <w:shd w:val="clear" w:color="auto" w:fill="auto"/>
            <w:vAlign w:val="center"/>
          </w:tcPr>
          <w:p w14:paraId="3A581C92" w14:textId="77777777" w:rsidR="008D68AB" w:rsidRPr="00EB1979" w:rsidRDefault="008D68AB" w:rsidP="00B5156D">
            <w:pPr>
              <w:jc w:val="center"/>
              <w:rPr>
                <w:sz w:val="20"/>
                <w:lang w:val="en-GB"/>
              </w:rPr>
            </w:pPr>
            <w:r w:rsidRPr="00EB1979">
              <w:rPr>
                <w:sz w:val="20"/>
                <w:lang w:val="en-GB"/>
              </w:rPr>
              <w:t>4.41</w:t>
            </w:r>
          </w:p>
        </w:tc>
        <w:tc>
          <w:tcPr>
            <w:tcW w:w="1007" w:type="dxa"/>
            <w:tcBorders>
              <w:top w:val="nil"/>
              <w:left w:val="nil"/>
              <w:bottom w:val="single" w:sz="4" w:space="0" w:color="auto"/>
              <w:right w:val="single" w:sz="4" w:space="0" w:color="auto"/>
            </w:tcBorders>
            <w:shd w:val="clear" w:color="auto" w:fill="auto"/>
            <w:vAlign w:val="center"/>
          </w:tcPr>
          <w:p w14:paraId="614CDD96" w14:textId="77777777" w:rsidR="008D68AB" w:rsidRPr="00EB1979" w:rsidRDefault="008D68AB" w:rsidP="00B5156D">
            <w:pPr>
              <w:jc w:val="center"/>
              <w:rPr>
                <w:sz w:val="20"/>
                <w:lang w:val="en-GB"/>
              </w:rPr>
            </w:pPr>
            <w:r w:rsidRPr="00EB1979">
              <w:rPr>
                <w:sz w:val="20"/>
                <w:lang w:val="en-GB"/>
              </w:rPr>
              <w:t>0.60</w:t>
            </w:r>
          </w:p>
        </w:tc>
        <w:tc>
          <w:tcPr>
            <w:tcW w:w="3219" w:type="dxa"/>
            <w:tcBorders>
              <w:top w:val="nil"/>
              <w:left w:val="nil"/>
              <w:bottom w:val="single" w:sz="4" w:space="0" w:color="auto"/>
              <w:right w:val="single" w:sz="4" w:space="0" w:color="auto"/>
            </w:tcBorders>
            <w:shd w:val="clear" w:color="auto" w:fill="auto"/>
            <w:vAlign w:val="center"/>
          </w:tcPr>
          <w:p w14:paraId="5CDDA772" w14:textId="77777777" w:rsidR="008D68AB" w:rsidRPr="00EB1979" w:rsidRDefault="008D68AB" w:rsidP="00B5156D">
            <w:pPr>
              <w:rPr>
                <w:i/>
                <w:iCs/>
                <w:sz w:val="20"/>
                <w:lang w:val="en-GB"/>
              </w:rPr>
            </w:pPr>
            <w:r w:rsidRPr="00EB1979">
              <w:rPr>
                <w:i/>
                <w:iCs/>
                <w:sz w:val="20"/>
                <w:lang w:val="en-GB"/>
              </w:rPr>
              <w:t xml:space="preserve">Return on assets or asset profitability </w:t>
            </w:r>
            <w:r w:rsidRPr="00EB1979">
              <w:rPr>
                <w:bCs/>
                <w:i/>
                <w:iCs/>
                <w:sz w:val="20"/>
                <w:lang w:val="en-GB"/>
              </w:rPr>
              <w:t>(ROA)</w:t>
            </w:r>
            <w:r w:rsidRPr="00EB1979">
              <w:rPr>
                <w:bCs/>
                <w:i/>
                <w:iCs/>
                <w:sz w:val="20"/>
                <w:vertAlign w:val="superscript"/>
                <w:lang w:val="en-GB"/>
              </w:rPr>
              <w:t>4</w:t>
            </w:r>
            <w:r w:rsidRPr="00EB1979">
              <w:rPr>
                <w:bCs/>
                <w:i/>
                <w:iCs/>
                <w:sz w:val="20"/>
                <w:lang w:val="en-GB"/>
              </w:rPr>
              <w:t xml:space="preserve">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3E6DA618" w14:textId="77777777" w:rsidR="008D68AB" w:rsidRPr="00EB1979" w:rsidRDefault="008D68AB" w:rsidP="00B5156D">
            <w:pPr>
              <w:jc w:val="center"/>
              <w:rPr>
                <w:sz w:val="20"/>
                <w:lang w:val="en-GB"/>
              </w:rPr>
            </w:pPr>
            <w:r w:rsidRPr="00EB1979">
              <w:rPr>
                <w:sz w:val="20"/>
                <w:lang w:val="en-GB"/>
              </w:rPr>
              <w:t>-18.59</w:t>
            </w:r>
          </w:p>
        </w:tc>
        <w:tc>
          <w:tcPr>
            <w:tcW w:w="1040" w:type="dxa"/>
            <w:tcBorders>
              <w:top w:val="nil"/>
              <w:left w:val="nil"/>
              <w:bottom w:val="single" w:sz="4" w:space="0" w:color="auto"/>
              <w:right w:val="single" w:sz="4" w:space="0" w:color="auto"/>
            </w:tcBorders>
            <w:shd w:val="clear" w:color="auto" w:fill="auto"/>
            <w:vAlign w:val="center"/>
          </w:tcPr>
          <w:p w14:paraId="0F89ACDB" w14:textId="77777777" w:rsidR="008D68AB" w:rsidRPr="00EB1979" w:rsidRDefault="008D68AB" w:rsidP="00B5156D">
            <w:pPr>
              <w:jc w:val="center"/>
              <w:rPr>
                <w:sz w:val="20"/>
                <w:lang w:val="en-GB"/>
              </w:rPr>
            </w:pPr>
            <w:r w:rsidRPr="00EB1979">
              <w:rPr>
                <w:sz w:val="20"/>
                <w:lang w:val="en-GB"/>
              </w:rPr>
              <w:t>0.55</w:t>
            </w:r>
          </w:p>
        </w:tc>
        <w:tc>
          <w:tcPr>
            <w:tcW w:w="1040" w:type="dxa"/>
            <w:tcBorders>
              <w:top w:val="nil"/>
              <w:left w:val="nil"/>
              <w:bottom w:val="single" w:sz="4" w:space="0" w:color="auto"/>
              <w:right w:val="single" w:sz="4" w:space="0" w:color="auto"/>
            </w:tcBorders>
            <w:shd w:val="clear" w:color="auto" w:fill="auto"/>
            <w:vAlign w:val="center"/>
          </w:tcPr>
          <w:p w14:paraId="2FB901A3" w14:textId="77777777" w:rsidR="008D68AB" w:rsidRPr="00EB1979" w:rsidRDefault="008D68AB" w:rsidP="00B5156D">
            <w:pPr>
              <w:jc w:val="center"/>
              <w:rPr>
                <w:sz w:val="20"/>
                <w:lang w:val="en-GB"/>
              </w:rPr>
            </w:pPr>
            <w:r w:rsidRPr="00EB1979">
              <w:rPr>
                <w:sz w:val="20"/>
                <w:lang w:val="en-GB"/>
              </w:rPr>
              <w:t>-3.40</w:t>
            </w:r>
          </w:p>
        </w:tc>
      </w:tr>
      <w:tr w:rsidR="008D68AB" w:rsidRPr="00EB1979" w14:paraId="461291E0"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48C45111" w14:textId="77777777" w:rsidR="008D68AB" w:rsidRPr="00EB1979" w:rsidRDefault="008D68AB" w:rsidP="00B5156D">
            <w:pPr>
              <w:jc w:val="center"/>
              <w:rPr>
                <w:sz w:val="20"/>
                <w:lang w:val="en-GB"/>
              </w:rPr>
            </w:pPr>
            <w:r w:rsidRPr="00EB1979">
              <w:rPr>
                <w:sz w:val="20"/>
              </w:rPr>
              <w:t>-35.97</w:t>
            </w:r>
          </w:p>
        </w:tc>
        <w:tc>
          <w:tcPr>
            <w:tcW w:w="1007" w:type="dxa"/>
            <w:tcBorders>
              <w:top w:val="nil"/>
              <w:left w:val="nil"/>
              <w:bottom w:val="single" w:sz="4" w:space="0" w:color="auto"/>
              <w:right w:val="single" w:sz="4" w:space="0" w:color="auto"/>
            </w:tcBorders>
            <w:shd w:val="clear" w:color="auto" w:fill="auto"/>
            <w:vAlign w:val="center"/>
          </w:tcPr>
          <w:p w14:paraId="2E66CA66" w14:textId="77777777" w:rsidR="008D68AB" w:rsidRPr="00EB1979" w:rsidRDefault="008D68AB" w:rsidP="00B5156D">
            <w:pPr>
              <w:jc w:val="center"/>
              <w:rPr>
                <w:sz w:val="20"/>
                <w:lang w:val="en-GB"/>
              </w:rPr>
            </w:pPr>
            <w:r w:rsidRPr="00EB1979">
              <w:rPr>
                <w:sz w:val="20"/>
              </w:rPr>
              <w:t>6.65</w:t>
            </w:r>
          </w:p>
        </w:tc>
        <w:tc>
          <w:tcPr>
            <w:tcW w:w="1007" w:type="dxa"/>
            <w:tcBorders>
              <w:top w:val="nil"/>
              <w:left w:val="nil"/>
              <w:bottom w:val="single" w:sz="4" w:space="0" w:color="auto"/>
              <w:right w:val="single" w:sz="4" w:space="0" w:color="auto"/>
            </w:tcBorders>
            <w:shd w:val="clear" w:color="auto" w:fill="auto"/>
            <w:vAlign w:val="center"/>
          </w:tcPr>
          <w:p w14:paraId="386F8100" w14:textId="77777777" w:rsidR="008D68AB" w:rsidRPr="00EB1979" w:rsidRDefault="008D68AB" w:rsidP="00B5156D">
            <w:pPr>
              <w:jc w:val="center"/>
              <w:rPr>
                <w:sz w:val="20"/>
              </w:rPr>
            </w:pPr>
            <w:r w:rsidRPr="00EB1979">
              <w:rPr>
                <w:sz w:val="20"/>
              </w:rPr>
              <w:t>0.99</w:t>
            </w:r>
          </w:p>
        </w:tc>
        <w:tc>
          <w:tcPr>
            <w:tcW w:w="3219" w:type="dxa"/>
            <w:tcBorders>
              <w:top w:val="nil"/>
              <w:left w:val="nil"/>
              <w:bottom w:val="single" w:sz="4" w:space="0" w:color="auto"/>
              <w:right w:val="single" w:sz="4" w:space="0" w:color="auto"/>
            </w:tcBorders>
            <w:shd w:val="clear" w:color="000000" w:fill="FFFFFF"/>
            <w:vAlign w:val="center"/>
          </w:tcPr>
          <w:p w14:paraId="28B49D97" w14:textId="77777777" w:rsidR="008D68AB" w:rsidRPr="00EB1979" w:rsidRDefault="008D68AB" w:rsidP="00B5156D">
            <w:pPr>
              <w:rPr>
                <w:i/>
                <w:iCs/>
                <w:sz w:val="20"/>
                <w:lang w:val="en-GB"/>
              </w:rPr>
            </w:pPr>
            <w:r w:rsidRPr="00EB1979">
              <w:rPr>
                <w:i/>
                <w:iCs/>
                <w:sz w:val="20"/>
                <w:lang w:val="en-GB"/>
              </w:rPr>
              <w:t xml:space="preserve">Return on investments </w:t>
            </w:r>
            <w:r w:rsidRPr="00EB1979">
              <w:rPr>
                <w:bCs/>
                <w:i/>
                <w:iCs/>
                <w:sz w:val="20"/>
                <w:lang w:val="en-GB"/>
              </w:rPr>
              <w:t>(ROI)</w:t>
            </w:r>
            <w:r w:rsidRPr="00EB1979">
              <w:rPr>
                <w:bCs/>
                <w:i/>
                <w:iCs/>
                <w:sz w:val="20"/>
                <w:vertAlign w:val="superscript"/>
                <w:lang w:val="en-GB"/>
              </w:rPr>
              <w:t xml:space="preserve">5 </w:t>
            </w:r>
            <w:r w:rsidRPr="00EB1979">
              <w:rPr>
                <w:i/>
                <w:iCs/>
                <w:sz w:val="20"/>
                <w:lang w:val="en-GB"/>
              </w:rPr>
              <w:t>(API)</w:t>
            </w:r>
            <w:r w:rsidRPr="00EB1979">
              <w:rPr>
                <w:bCs/>
                <w:i/>
                <w:iCs/>
                <w:sz w:val="20"/>
                <w:vertAlign w:val="superscript"/>
                <w:lang w:val="en-GB"/>
              </w:rPr>
              <w:t xml:space="preserve"> </w:t>
            </w:r>
          </w:p>
        </w:tc>
        <w:tc>
          <w:tcPr>
            <w:tcW w:w="1040" w:type="dxa"/>
            <w:tcBorders>
              <w:top w:val="nil"/>
              <w:left w:val="nil"/>
              <w:bottom w:val="single" w:sz="4" w:space="0" w:color="auto"/>
              <w:right w:val="single" w:sz="4" w:space="0" w:color="auto"/>
            </w:tcBorders>
            <w:shd w:val="clear" w:color="auto" w:fill="auto"/>
            <w:vAlign w:val="center"/>
          </w:tcPr>
          <w:p w14:paraId="340E735C" w14:textId="77777777" w:rsidR="008D68AB" w:rsidRPr="00EB1979" w:rsidRDefault="008D68AB" w:rsidP="00B5156D">
            <w:pPr>
              <w:jc w:val="center"/>
              <w:rPr>
                <w:sz w:val="20"/>
                <w:lang w:val="en-GB"/>
              </w:rPr>
            </w:pPr>
            <w:r w:rsidRPr="00EB1979">
              <w:rPr>
                <w:sz w:val="20"/>
              </w:rPr>
              <w:t>-52.81</w:t>
            </w:r>
          </w:p>
        </w:tc>
        <w:tc>
          <w:tcPr>
            <w:tcW w:w="1040" w:type="dxa"/>
            <w:tcBorders>
              <w:top w:val="nil"/>
              <w:left w:val="nil"/>
              <w:bottom w:val="single" w:sz="4" w:space="0" w:color="auto"/>
              <w:right w:val="single" w:sz="4" w:space="0" w:color="auto"/>
            </w:tcBorders>
            <w:shd w:val="clear" w:color="auto" w:fill="auto"/>
            <w:vAlign w:val="center"/>
          </w:tcPr>
          <w:p w14:paraId="296C7188" w14:textId="77777777" w:rsidR="008D68AB" w:rsidRPr="00EB1979" w:rsidRDefault="008D68AB" w:rsidP="00B5156D">
            <w:pPr>
              <w:jc w:val="center"/>
              <w:rPr>
                <w:sz w:val="20"/>
                <w:lang w:val="en-GB"/>
              </w:rPr>
            </w:pPr>
            <w:r w:rsidRPr="00EB1979">
              <w:rPr>
                <w:sz w:val="20"/>
              </w:rPr>
              <w:t>1.29</w:t>
            </w:r>
          </w:p>
        </w:tc>
        <w:tc>
          <w:tcPr>
            <w:tcW w:w="1040" w:type="dxa"/>
            <w:tcBorders>
              <w:top w:val="nil"/>
              <w:left w:val="nil"/>
              <w:bottom w:val="single" w:sz="4" w:space="0" w:color="auto"/>
              <w:right w:val="single" w:sz="4" w:space="0" w:color="auto"/>
            </w:tcBorders>
            <w:shd w:val="clear" w:color="auto" w:fill="auto"/>
            <w:vAlign w:val="center"/>
          </w:tcPr>
          <w:p w14:paraId="404C3178" w14:textId="77777777" w:rsidR="008D68AB" w:rsidRPr="00EB1979" w:rsidRDefault="008D68AB" w:rsidP="00B5156D">
            <w:pPr>
              <w:jc w:val="center"/>
              <w:rPr>
                <w:sz w:val="20"/>
              </w:rPr>
            </w:pPr>
            <w:r w:rsidRPr="00EB1979">
              <w:rPr>
                <w:sz w:val="20"/>
              </w:rPr>
              <w:t>-7.67</w:t>
            </w:r>
          </w:p>
        </w:tc>
      </w:tr>
      <w:tr w:rsidR="008D68AB" w:rsidRPr="00EB1979" w14:paraId="1BD62C79"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51730A94" w14:textId="77777777" w:rsidR="008D68AB" w:rsidRPr="00EB1979" w:rsidRDefault="008D68AB" w:rsidP="00B5156D">
            <w:pPr>
              <w:jc w:val="center"/>
              <w:rPr>
                <w:sz w:val="20"/>
                <w:lang w:val="en-GB"/>
              </w:rPr>
            </w:pPr>
            <w:r w:rsidRPr="00EB1979">
              <w:rPr>
                <w:sz w:val="20"/>
              </w:rPr>
              <w:t>0.75</w:t>
            </w:r>
          </w:p>
        </w:tc>
        <w:tc>
          <w:tcPr>
            <w:tcW w:w="1007" w:type="dxa"/>
            <w:tcBorders>
              <w:top w:val="nil"/>
              <w:left w:val="nil"/>
              <w:bottom w:val="single" w:sz="4" w:space="0" w:color="auto"/>
              <w:right w:val="single" w:sz="4" w:space="0" w:color="auto"/>
            </w:tcBorders>
            <w:shd w:val="clear" w:color="auto" w:fill="auto"/>
            <w:vAlign w:val="center"/>
          </w:tcPr>
          <w:p w14:paraId="45699F31" w14:textId="77777777" w:rsidR="008D68AB" w:rsidRPr="00EB1979" w:rsidRDefault="008D68AB" w:rsidP="00B5156D">
            <w:pPr>
              <w:jc w:val="center"/>
              <w:rPr>
                <w:sz w:val="20"/>
                <w:lang w:val="en-GB"/>
              </w:rPr>
            </w:pPr>
            <w:r w:rsidRPr="00EB1979">
              <w:rPr>
                <w:sz w:val="20"/>
              </w:rPr>
              <w:t>1.30</w:t>
            </w:r>
          </w:p>
        </w:tc>
        <w:tc>
          <w:tcPr>
            <w:tcW w:w="1007" w:type="dxa"/>
            <w:tcBorders>
              <w:top w:val="nil"/>
              <w:left w:val="nil"/>
              <w:bottom w:val="single" w:sz="4" w:space="0" w:color="auto"/>
              <w:right w:val="single" w:sz="4" w:space="0" w:color="auto"/>
            </w:tcBorders>
            <w:shd w:val="clear" w:color="auto" w:fill="auto"/>
            <w:vAlign w:val="center"/>
          </w:tcPr>
          <w:p w14:paraId="000CE2F6" w14:textId="77777777" w:rsidR="008D68AB" w:rsidRPr="00EB1979" w:rsidRDefault="008D68AB" w:rsidP="00B5156D">
            <w:pPr>
              <w:jc w:val="center"/>
              <w:rPr>
                <w:sz w:val="20"/>
              </w:rPr>
            </w:pPr>
            <w:r w:rsidRPr="00EB1979">
              <w:rPr>
                <w:sz w:val="20"/>
              </w:rPr>
              <w:t>1.23</w:t>
            </w:r>
          </w:p>
        </w:tc>
        <w:tc>
          <w:tcPr>
            <w:tcW w:w="3219" w:type="dxa"/>
            <w:tcBorders>
              <w:top w:val="nil"/>
              <w:left w:val="nil"/>
              <w:bottom w:val="single" w:sz="4" w:space="0" w:color="auto"/>
              <w:right w:val="single" w:sz="4" w:space="0" w:color="auto"/>
            </w:tcBorders>
            <w:shd w:val="clear" w:color="000000" w:fill="FFFFFF"/>
            <w:vAlign w:val="center"/>
          </w:tcPr>
          <w:p w14:paraId="096BA7C6" w14:textId="77777777" w:rsidR="008D68AB" w:rsidRPr="00EB1979" w:rsidRDefault="008D68AB" w:rsidP="00B5156D">
            <w:pPr>
              <w:rPr>
                <w:i/>
                <w:iCs/>
                <w:sz w:val="20"/>
                <w:lang w:val="en-GB"/>
              </w:rPr>
            </w:pPr>
            <w:r w:rsidRPr="00EB1979">
              <w:rPr>
                <w:i/>
                <w:iCs/>
                <w:sz w:val="20"/>
                <w:lang w:val="en-GB"/>
              </w:rPr>
              <w:t xml:space="preserve">Current liquidity ratio </w:t>
            </w:r>
            <w:r w:rsidRPr="00EB1979">
              <w:rPr>
                <w:i/>
                <w:iCs/>
                <w:sz w:val="20"/>
                <w:vertAlign w:val="superscript"/>
                <w:lang w:val="en-GB"/>
              </w:rPr>
              <w:t xml:space="preserve">6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02101773" w14:textId="77777777" w:rsidR="008D68AB" w:rsidRPr="00EB1979" w:rsidRDefault="008D68AB" w:rsidP="00B5156D">
            <w:pPr>
              <w:jc w:val="center"/>
              <w:rPr>
                <w:sz w:val="20"/>
                <w:lang w:val="en-GB"/>
              </w:rPr>
            </w:pPr>
            <w:r w:rsidRPr="00EB1979">
              <w:rPr>
                <w:sz w:val="20"/>
              </w:rPr>
              <w:t>0.88</w:t>
            </w:r>
          </w:p>
        </w:tc>
        <w:tc>
          <w:tcPr>
            <w:tcW w:w="1040" w:type="dxa"/>
            <w:tcBorders>
              <w:top w:val="nil"/>
              <w:left w:val="nil"/>
              <w:bottom w:val="single" w:sz="4" w:space="0" w:color="auto"/>
              <w:right w:val="single" w:sz="4" w:space="0" w:color="auto"/>
            </w:tcBorders>
            <w:shd w:val="clear" w:color="auto" w:fill="auto"/>
            <w:vAlign w:val="center"/>
          </w:tcPr>
          <w:p w14:paraId="3E60409B" w14:textId="77777777" w:rsidR="008D68AB" w:rsidRPr="00EB1979" w:rsidRDefault="008D68AB" w:rsidP="00B5156D">
            <w:pPr>
              <w:jc w:val="center"/>
              <w:rPr>
                <w:sz w:val="20"/>
                <w:lang w:val="en-GB"/>
              </w:rPr>
            </w:pPr>
            <w:r w:rsidRPr="00EB1979">
              <w:rPr>
                <w:sz w:val="20"/>
              </w:rPr>
              <w:t>1.12</w:t>
            </w:r>
          </w:p>
        </w:tc>
        <w:tc>
          <w:tcPr>
            <w:tcW w:w="1040" w:type="dxa"/>
            <w:tcBorders>
              <w:top w:val="nil"/>
              <w:left w:val="nil"/>
              <w:bottom w:val="single" w:sz="4" w:space="0" w:color="auto"/>
              <w:right w:val="single" w:sz="4" w:space="0" w:color="auto"/>
            </w:tcBorders>
            <w:shd w:val="clear" w:color="auto" w:fill="auto"/>
            <w:vAlign w:val="center"/>
          </w:tcPr>
          <w:p w14:paraId="0D9B59F1" w14:textId="77777777" w:rsidR="008D68AB" w:rsidRPr="00EB1979" w:rsidRDefault="008D68AB" w:rsidP="00B5156D">
            <w:pPr>
              <w:jc w:val="center"/>
              <w:rPr>
                <w:sz w:val="20"/>
              </w:rPr>
            </w:pPr>
            <w:r w:rsidRPr="00EB1979">
              <w:rPr>
                <w:sz w:val="20"/>
              </w:rPr>
              <w:t>1.02</w:t>
            </w:r>
          </w:p>
        </w:tc>
      </w:tr>
      <w:tr w:rsidR="008D68AB" w:rsidRPr="00EB1979" w14:paraId="53550FB9" w14:textId="77777777" w:rsidTr="00B5156D">
        <w:trPr>
          <w:trHeight w:val="34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74E119" w14:textId="77777777" w:rsidR="008D68AB" w:rsidRPr="00EB1979" w:rsidRDefault="008D68AB" w:rsidP="00B5156D">
            <w:pPr>
              <w:jc w:val="center"/>
              <w:rPr>
                <w:sz w:val="20"/>
                <w:lang w:val="en-GB"/>
              </w:rPr>
            </w:pPr>
            <w:r w:rsidRPr="00EB1979">
              <w:rPr>
                <w:sz w:val="20"/>
              </w:rPr>
              <w:t>0.53</w:t>
            </w:r>
          </w:p>
        </w:tc>
        <w:tc>
          <w:tcPr>
            <w:tcW w:w="1007" w:type="dxa"/>
            <w:tcBorders>
              <w:top w:val="single" w:sz="4" w:space="0" w:color="auto"/>
              <w:left w:val="nil"/>
              <w:bottom w:val="single" w:sz="4" w:space="0" w:color="auto"/>
              <w:right w:val="single" w:sz="4" w:space="0" w:color="auto"/>
            </w:tcBorders>
            <w:shd w:val="clear" w:color="auto" w:fill="auto"/>
            <w:vAlign w:val="center"/>
          </w:tcPr>
          <w:p w14:paraId="58EC25F7" w14:textId="77777777" w:rsidR="008D68AB" w:rsidRPr="00EB1979" w:rsidRDefault="008D68AB" w:rsidP="00B5156D">
            <w:pPr>
              <w:jc w:val="center"/>
              <w:rPr>
                <w:sz w:val="20"/>
                <w:lang w:val="en-GB"/>
              </w:rPr>
            </w:pPr>
            <w:r w:rsidRPr="00EB1979">
              <w:rPr>
                <w:sz w:val="20"/>
              </w:rPr>
              <w:t>1.00</w:t>
            </w:r>
          </w:p>
        </w:tc>
        <w:tc>
          <w:tcPr>
            <w:tcW w:w="1007" w:type="dxa"/>
            <w:tcBorders>
              <w:top w:val="single" w:sz="4" w:space="0" w:color="auto"/>
              <w:left w:val="nil"/>
              <w:bottom w:val="single" w:sz="4" w:space="0" w:color="auto"/>
              <w:right w:val="single" w:sz="4" w:space="0" w:color="auto"/>
            </w:tcBorders>
            <w:shd w:val="clear" w:color="auto" w:fill="auto"/>
            <w:vAlign w:val="center"/>
          </w:tcPr>
          <w:p w14:paraId="7679632D" w14:textId="77777777" w:rsidR="008D68AB" w:rsidRPr="00EB1979" w:rsidRDefault="008D68AB" w:rsidP="00B5156D">
            <w:pPr>
              <w:jc w:val="center"/>
              <w:rPr>
                <w:sz w:val="20"/>
              </w:rPr>
            </w:pPr>
            <w:r w:rsidRPr="00EB1979">
              <w:rPr>
                <w:sz w:val="20"/>
              </w:rPr>
              <w:t>0.95</w:t>
            </w:r>
          </w:p>
        </w:tc>
        <w:tc>
          <w:tcPr>
            <w:tcW w:w="3219" w:type="dxa"/>
            <w:tcBorders>
              <w:top w:val="single" w:sz="4" w:space="0" w:color="auto"/>
              <w:left w:val="nil"/>
              <w:bottom w:val="single" w:sz="4" w:space="0" w:color="auto"/>
              <w:right w:val="single" w:sz="4" w:space="0" w:color="auto"/>
            </w:tcBorders>
            <w:shd w:val="clear" w:color="000000" w:fill="FFFFFF"/>
            <w:vAlign w:val="center"/>
          </w:tcPr>
          <w:p w14:paraId="29DE9C27" w14:textId="77777777" w:rsidR="008D68AB" w:rsidRPr="00EB1979" w:rsidRDefault="008D68AB" w:rsidP="00B5156D">
            <w:pPr>
              <w:rPr>
                <w:i/>
                <w:iCs/>
                <w:sz w:val="20"/>
                <w:vertAlign w:val="superscript"/>
                <w:lang w:val="en-GB"/>
              </w:rPr>
            </w:pPr>
            <w:r w:rsidRPr="00EB1979">
              <w:rPr>
                <w:i/>
                <w:iCs/>
                <w:sz w:val="20"/>
                <w:lang w:val="en-GB"/>
              </w:rPr>
              <w:t xml:space="preserve">Critical liquidity ratio </w:t>
            </w:r>
            <w:r w:rsidRPr="00EB1979">
              <w:rPr>
                <w:i/>
                <w:iCs/>
                <w:sz w:val="20"/>
                <w:vertAlign w:val="superscript"/>
                <w:lang w:val="en-GB"/>
              </w:rPr>
              <w:t xml:space="preserve">7 </w:t>
            </w:r>
            <w:r w:rsidRPr="00EB1979">
              <w:rPr>
                <w:i/>
                <w:iCs/>
                <w:sz w:val="20"/>
                <w:lang w:val="en-GB"/>
              </w:rPr>
              <w:t xml:space="preserve">(API) </w:t>
            </w:r>
          </w:p>
        </w:tc>
        <w:tc>
          <w:tcPr>
            <w:tcW w:w="1040" w:type="dxa"/>
            <w:tcBorders>
              <w:top w:val="single" w:sz="4" w:space="0" w:color="auto"/>
              <w:left w:val="nil"/>
              <w:bottom w:val="single" w:sz="4" w:space="0" w:color="auto"/>
              <w:right w:val="single" w:sz="4" w:space="0" w:color="auto"/>
            </w:tcBorders>
            <w:shd w:val="clear" w:color="auto" w:fill="auto"/>
            <w:vAlign w:val="center"/>
          </w:tcPr>
          <w:p w14:paraId="5C193FBC" w14:textId="77777777" w:rsidR="008D68AB" w:rsidRPr="00EB1979" w:rsidRDefault="008D68AB" w:rsidP="00B5156D">
            <w:pPr>
              <w:jc w:val="center"/>
              <w:rPr>
                <w:sz w:val="20"/>
                <w:lang w:val="en-GB"/>
              </w:rPr>
            </w:pPr>
            <w:r w:rsidRPr="00EB1979">
              <w:rPr>
                <w:sz w:val="20"/>
              </w:rPr>
              <w:t>0.81</w:t>
            </w:r>
          </w:p>
        </w:tc>
        <w:tc>
          <w:tcPr>
            <w:tcW w:w="1040" w:type="dxa"/>
            <w:tcBorders>
              <w:top w:val="single" w:sz="4" w:space="0" w:color="auto"/>
              <w:left w:val="nil"/>
              <w:bottom w:val="single" w:sz="4" w:space="0" w:color="auto"/>
              <w:right w:val="single" w:sz="4" w:space="0" w:color="auto"/>
            </w:tcBorders>
            <w:shd w:val="clear" w:color="auto" w:fill="auto"/>
            <w:vAlign w:val="center"/>
          </w:tcPr>
          <w:p w14:paraId="4FAEF8A5" w14:textId="77777777" w:rsidR="008D68AB" w:rsidRPr="00EB1979" w:rsidRDefault="008D68AB" w:rsidP="00B5156D">
            <w:pPr>
              <w:jc w:val="center"/>
              <w:rPr>
                <w:sz w:val="20"/>
                <w:lang w:val="en-GB"/>
              </w:rPr>
            </w:pPr>
            <w:r w:rsidRPr="00EB1979">
              <w:rPr>
                <w:sz w:val="20"/>
              </w:rPr>
              <w:t>0.94</w:t>
            </w:r>
          </w:p>
        </w:tc>
        <w:tc>
          <w:tcPr>
            <w:tcW w:w="1040" w:type="dxa"/>
            <w:tcBorders>
              <w:top w:val="single" w:sz="4" w:space="0" w:color="auto"/>
              <w:left w:val="nil"/>
              <w:bottom w:val="single" w:sz="4" w:space="0" w:color="auto"/>
              <w:right w:val="single" w:sz="4" w:space="0" w:color="auto"/>
            </w:tcBorders>
            <w:shd w:val="clear" w:color="auto" w:fill="auto"/>
            <w:vAlign w:val="center"/>
          </w:tcPr>
          <w:p w14:paraId="0685BA9F" w14:textId="77777777" w:rsidR="008D68AB" w:rsidRPr="00EB1979" w:rsidRDefault="008D68AB" w:rsidP="00B5156D">
            <w:pPr>
              <w:jc w:val="center"/>
              <w:rPr>
                <w:sz w:val="20"/>
              </w:rPr>
            </w:pPr>
            <w:r w:rsidRPr="00EB1979">
              <w:rPr>
                <w:sz w:val="20"/>
              </w:rPr>
              <w:t>0.85</w:t>
            </w:r>
          </w:p>
        </w:tc>
      </w:tr>
      <w:tr w:rsidR="008D68AB" w:rsidRPr="00EB1979" w14:paraId="30672320"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0148FB43" w14:textId="77777777" w:rsidR="008D68AB" w:rsidRPr="00EB1979" w:rsidRDefault="008D68AB" w:rsidP="00B5156D">
            <w:pPr>
              <w:jc w:val="center"/>
              <w:rPr>
                <w:sz w:val="20"/>
                <w:lang w:val="en-GB"/>
              </w:rPr>
            </w:pPr>
            <w:r w:rsidRPr="00EB1979">
              <w:rPr>
                <w:sz w:val="20"/>
                <w:lang w:val="en-GB"/>
              </w:rPr>
              <w:t>0.36</w:t>
            </w:r>
          </w:p>
        </w:tc>
        <w:tc>
          <w:tcPr>
            <w:tcW w:w="1007" w:type="dxa"/>
            <w:tcBorders>
              <w:top w:val="nil"/>
              <w:left w:val="nil"/>
              <w:bottom w:val="single" w:sz="4" w:space="0" w:color="auto"/>
              <w:right w:val="single" w:sz="4" w:space="0" w:color="auto"/>
            </w:tcBorders>
            <w:shd w:val="clear" w:color="auto" w:fill="auto"/>
            <w:vAlign w:val="center"/>
          </w:tcPr>
          <w:p w14:paraId="67DBDEA7" w14:textId="77777777" w:rsidR="008D68AB" w:rsidRPr="00EB1979" w:rsidRDefault="008D68AB" w:rsidP="00B5156D">
            <w:pPr>
              <w:jc w:val="center"/>
              <w:rPr>
                <w:sz w:val="20"/>
                <w:lang w:val="en-GB"/>
              </w:rPr>
            </w:pPr>
            <w:r w:rsidRPr="00EB1979">
              <w:rPr>
                <w:sz w:val="20"/>
                <w:lang w:val="en-GB"/>
              </w:rPr>
              <w:t>0.34</w:t>
            </w:r>
          </w:p>
        </w:tc>
        <w:tc>
          <w:tcPr>
            <w:tcW w:w="1007" w:type="dxa"/>
            <w:tcBorders>
              <w:top w:val="nil"/>
              <w:left w:val="nil"/>
              <w:bottom w:val="single" w:sz="4" w:space="0" w:color="auto"/>
              <w:right w:val="single" w:sz="4" w:space="0" w:color="auto"/>
            </w:tcBorders>
            <w:shd w:val="clear" w:color="auto" w:fill="auto"/>
            <w:vAlign w:val="center"/>
          </w:tcPr>
          <w:p w14:paraId="78F9980A" w14:textId="77777777" w:rsidR="008D68AB" w:rsidRPr="00EB1979" w:rsidRDefault="008D68AB" w:rsidP="00B5156D">
            <w:pPr>
              <w:jc w:val="center"/>
              <w:rPr>
                <w:sz w:val="20"/>
                <w:lang w:val="en-GB"/>
              </w:rPr>
            </w:pPr>
            <w:r w:rsidRPr="00EB1979">
              <w:rPr>
                <w:sz w:val="20"/>
                <w:lang w:val="en-GB"/>
              </w:rPr>
              <w:t>0.35</w:t>
            </w:r>
          </w:p>
        </w:tc>
        <w:tc>
          <w:tcPr>
            <w:tcW w:w="3219" w:type="dxa"/>
            <w:tcBorders>
              <w:top w:val="nil"/>
              <w:left w:val="nil"/>
              <w:bottom w:val="single" w:sz="4" w:space="0" w:color="auto"/>
              <w:right w:val="single" w:sz="4" w:space="0" w:color="auto"/>
            </w:tcBorders>
            <w:shd w:val="clear" w:color="auto" w:fill="auto"/>
            <w:vAlign w:val="center"/>
          </w:tcPr>
          <w:p w14:paraId="1A4AA81A" w14:textId="77777777" w:rsidR="008D68AB" w:rsidRPr="00EB1979" w:rsidRDefault="008D68AB" w:rsidP="00B5156D">
            <w:pPr>
              <w:rPr>
                <w:i/>
                <w:iCs/>
                <w:sz w:val="20"/>
                <w:lang w:val="en-GB"/>
              </w:rPr>
            </w:pPr>
            <w:r w:rsidRPr="00EB1979">
              <w:rPr>
                <w:i/>
                <w:iCs/>
                <w:sz w:val="20"/>
                <w:lang w:val="en-GB"/>
              </w:rPr>
              <w:t xml:space="preserve">Equity ratio </w:t>
            </w:r>
            <w:r w:rsidRPr="00EB1979">
              <w:rPr>
                <w:i/>
                <w:iCs/>
                <w:sz w:val="20"/>
                <w:vertAlign w:val="superscript"/>
                <w:lang w:val="en-GB"/>
              </w:rPr>
              <w:t xml:space="preserve">8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3D1FB9A6" w14:textId="77777777" w:rsidR="008D68AB" w:rsidRPr="00EB1979" w:rsidRDefault="008D68AB" w:rsidP="00B5156D">
            <w:pPr>
              <w:jc w:val="center"/>
              <w:rPr>
                <w:sz w:val="20"/>
                <w:lang w:val="en-GB"/>
              </w:rPr>
            </w:pPr>
            <w:r w:rsidRPr="00EB1979">
              <w:rPr>
                <w:sz w:val="20"/>
                <w:lang w:val="en-GB"/>
              </w:rPr>
              <w:t>0.35</w:t>
            </w:r>
          </w:p>
        </w:tc>
        <w:tc>
          <w:tcPr>
            <w:tcW w:w="1040" w:type="dxa"/>
            <w:tcBorders>
              <w:top w:val="nil"/>
              <w:left w:val="nil"/>
              <w:bottom w:val="single" w:sz="4" w:space="0" w:color="auto"/>
              <w:right w:val="single" w:sz="4" w:space="0" w:color="auto"/>
            </w:tcBorders>
            <w:shd w:val="clear" w:color="auto" w:fill="auto"/>
            <w:vAlign w:val="center"/>
          </w:tcPr>
          <w:p w14:paraId="0521E4BC" w14:textId="77777777" w:rsidR="008D68AB" w:rsidRPr="00EB1979" w:rsidRDefault="008D68AB" w:rsidP="00B5156D">
            <w:pPr>
              <w:jc w:val="center"/>
              <w:rPr>
                <w:sz w:val="20"/>
                <w:lang w:val="en-GB"/>
              </w:rPr>
            </w:pPr>
            <w:r w:rsidRPr="00EB1979">
              <w:rPr>
                <w:sz w:val="20"/>
                <w:lang w:val="en-GB"/>
              </w:rPr>
              <w:t>0.46</w:t>
            </w:r>
          </w:p>
        </w:tc>
        <w:tc>
          <w:tcPr>
            <w:tcW w:w="1040" w:type="dxa"/>
            <w:tcBorders>
              <w:top w:val="nil"/>
              <w:left w:val="nil"/>
              <w:bottom w:val="single" w:sz="4" w:space="0" w:color="auto"/>
              <w:right w:val="single" w:sz="4" w:space="0" w:color="auto"/>
            </w:tcBorders>
            <w:shd w:val="clear" w:color="auto" w:fill="auto"/>
            <w:vAlign w:val="center"/>
          </w:tcPr>
          <w:p w14:paraId="0050A218" w14:textId="77777777" w:rsidR="008D68AB" w:rsidRPr="00EB1979" w:rsidRDefault="008D68AB" w:rsidP="00B5156D">
            <w:pPr>
              <w:jc w:val="center"/>
              <w:rPr>
                <w:sz w:val="20"/>
                <w:lang w:val="en-GB"/>
              </w:rPr>
            </w:pPr>
            <w:r w:rsidRPr="00EB1979">
              <w:rPr>
                <w:sz w:val="20"/>
                <w:lang w:val="en-GB"/>
              </w:rPr>
              <w:t>0.41</w:t>
            </w:r>
          </w:p>
        </w:tc>
      </w:tr>
      <w:tr w:rsidR="008D68AB" w:rsidRPr="00EB1979" w14:paraId="253549D1"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7FBB4323" w14:textId="77777777" w:rsidR="008D68AB" w:rsidRPr="00EB1979" w:rsidRDefault="008D68AB" w:rsidP="00B5156D">
            <w:pPr>
              <w:jc w:val="center"/>
              <w:rPr>
                <w:sz w:val="20"/>
                <w:lang w:val="en-GB"/>
              </w:rPr>
            </w:pPr>
            <w:r w:rsidRPr="00EB1979">
              <w:rPr>
                <w:sz w:val="20"/>
                <w:lang w:val="en-GB"/>
              </w:rPr>
              <w:t>0.62</w:t>
            </w:r>
          </w:p>
        </w:tc>
        <w:tc>
          <w:tcPr>
            <w:tcW w:w="1007" w:type="dxa"/>
            <w:tcBorders>
              <w:top w:val="nil"/>
              <w:left w:val="nil"/>
              <w:bottom w:val="single" w:sz="4" w:space="0" w:color="auto"/>
              <w:right w:val="single" w:sz="4" w:space="0" w:color="auto"/>
            </w:tcBorders>
            <w:shd w:val="clear" w:color="auto" w:fill="auto"/>
            <w:vAlign w:val="center"/>
          </w:tcPr>
          <w:p w14:paraId="4E0B8D00" w14:textId="77777777" w:rsidR="008D68AB" w:rsidRPr="00EB1979" w:rsidRDefault="008D68AB" w:rsidP="00B5156D">
            <w:pPr>
              <w:jc w:val="center"/>
              <w:rPr>
                <w:sz w:val="20"/>
                <w:lang w:val="en-GB"/>
              </w:rPr>
            </w:pPr>
            <w:r w:rsidRPr="00EB1979">
              <w:rPr>
                <w:sz w:val="20"/>
                <w:lang w:val="en-GB"/>
              </w:rPr>
              <w:t>0.65</w:t>
            </w:r>
          </w:p>
        </w:tc>
        <w:tc>
          <w:tcPr>
            <w:tcW w:w="1007" w:type="dxa"/>
            <w:tcBorders>
              <w:top w:val="nil"/>
              <w:left w:val="nil"/>
              <w:bottom w:val="single" w:sz="4" w:space="0" w:color="auto"/>
              <w:right w:val="single" w:sz="4" w:space="0" w:color="auto"/>
            </w:tcBorders>
            <w:shd w:val="clear" w:color="auto" w:fill="auto"/>
            <w:vAlign w:val="center"/>
          </w:tcPr>
          <w:p w14:paraId="2C2D196F" w14:textId="77777777" w:rsidR="008D68AB" w:rsidRPr="00EB1979" w:rsidRDefault="008D68AB" w:rsidP="00B5156D">
            <w:pPr>
              <w:jc w:val="center"/>
              <w:rPr>
                <w:sz w:val="20"/>
                <w:lang w:val="en-GB"/>
              </w:rPr>
            </w:pPr>
            <w:r w:rsidRPr="00EB1979">
              <w:rPr>
                <w:sz w:val="20"/>
                <w:lang w:val="en-GB"/>
              </w:rPr>
              <w:t>0.64</w:t>
            </w:r>
          </w:p>
        </w:tc>
        <w:tc>
          <w:tcPr>
            <w:tcW w:w="3219" w:type="dxa"/>
            <w:tcBorders>
              <w:top w:val="nil"/>
              <w:left w:val="nil"/>
              <w:bottom w:val="single" w:sz="4" w:space="0" w:color="auto"/>
              <w:right w:val="single" w:sz="4" w:space="0" w:color="auto"/>
            </w:tcBorders>
            <w:shd w:val="clear" w:color="auto" w:fill="auto"/>
            <w:vAlign w:val="center"/>
          </w:tcPr>
          <w:p w14:paraId="59358865" w14:textId="77777777" w:rsidR="008D68AB" w:rsidRPr="00EB1979" w:rsidRDefault="008D68AB" w:rsidP="00B5156D">
            <w:pPr>
              <w:rPr>
                <w:i/>
                <w:iCs/>
                <w:sz w:val="20"/>
                <w:szCs w:val="20"/>
                <w:lang w:val="en-GB"/>
              </w:rPr>
            </w:pPr>
            <w:r w:rsidRPr="00EB1979">
              <w:rPr>
                <w:i/>
                <w:iCs/>
                <w:sz w:val="20"/>
                <w:szCs w:val="20"/>
                <w:lang w:val="en-GB" w:eastAsia="lt-LT"/>
              </w:rPr>
              <w:t>Debt ratio</w:t>
            </w:r>
            <w:r w:rsidRPr="00EB1979">
              <w:rPr>
                <w:i/>
                <w:iCs/>
                <w:sz w:val="20"/>
                <w:szCs w:val="20"/>
                <w:lang w:eastAsia="lt-LT"/>
              </w:rPr>
              <w:t xml:space="preserve"> </w:t>
            </w:r>
            <w:r w:rsidRPr="00EB1979">
              <w:rPr>
                <w:i/>
                <w:iCs/>
                <w:sz w:val="20"/>
                <w:szCs w:val="20"/>
                <w:vertAlign w:val="superscript"/>
                <w:lang w:eastAsia="lt-LT"/>
              </w:rPr>
              <w:t xml:space="preserve">9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75BE790F" w14:textId="77777777" w:rsidR="008D68AB" w:rsidRPr="00EB1979" w:rsidRDefault="008D68AB" w:rsidP="00B5156D">
            <w:pPr>
              <w:jc w:val="center"/>
              <w:rPr>
                <w:sz w:val="20"/>
                <w:lang w:val="en-GB"/>
              </w:rPr>
            </w:pPr>
            <w:r w:rsidRPr="00EB1979">
              <w:rPr>
                <w:sz w:val="20"/>
                <w:lang w:val="en-GB"/>
              </w:rPr>
              <w:t>0.65</w:t>
            </w:r>
          </w:p>
        </w:tc>
        <w:tc>
          <w:tcPr>
            <w:tcW w:w="1040" w:type="dxa"/>
            <w:tcBorders>
              <w:top w:val="nil"/>
              <w:left w:val="nil"/>
              <w:bottom w:val="single" w:sz="4" w:space="0" w:color="auto"/>
              <w:right w:val="single" w:sz="4" w:space="0" w:color="auto"/>
            </w:tcBorders>
            <w:shd w:val="clear" w:color="auto" w:fill="auto"/>
            <w:vAlign w:val="center"/>
          </w:tcPr>
          <w:p w14:paraId="273723A5" w14:textId="77777777" w:rsidR="008D68AB" w:rsidRPr="00EB1979" w:rsidRDefault="008D68AB" w:rsidP="00B5156D">
            <w:pPr>
              <w:jc w:val="center"/>
              <w:rPr>
                <w:sz w:val="20"/>
                <w:lang w:val="en-GB"/>
              </w:rPr>
            </w:pPr>
            <w:r w:rsidRPr="00EB1979">
              <w:rPr>
                <w:sz w:val="20"/>
                <w:lang w:val="en-GB"/>
              </w:rPr>
              <w:t>0.54</w:t>
            </w:r>
          </w:p>
        </w:tc>
        <w:tc>
          <w:tcPr>
            <w:tcW w:w="1040" w:type="dxa"/>
            <w:tcBorders>
              <w:top w:val="nil"/>
              <w:left w:val="nil"/>
              <w:bottom w:val="single" w:sz="4" w:space="0" w:color="auto"/>
              <w:right w:val="single" w:sz="4" w:space="0" w:color="auto"/>
            </w:tcBorders>
            <w:shd w:val="clear" w:color="auto" w:fill="auto"/>
            <w:vAlign w:val="center"/>
          </w:tcPr>
          <w:p w14:paraId="095F39B3" w14:textId="77777777" w:rsidR="008D68AB" w:rsidRPr="00EB1979" w:rsidRDefault="008D68AB" w:rsidP="00B5156D">
            <w:pPr>
              <w:jc w:val="center"/>
              <w:rPr>
                <w:sz w:val="20"/>
                <w:lang w:val="en-GB"/>
              </w:rPr>
            </w:pPr>
            <w:r w:rsidRPr="00EB1979">
              <w:rPr>
                <w:sz w:val="20"/>
                <w:lang w:val="en-GB"/>
              </w:rPr>
              <w:t>0.59</w:t>
            </w:r>
          </w:p>
        </w:tc>
      </w:tr>
      <w:tr w:rsidR="008D68AB" w:rsidRPr="00EB1979" w14:paraId="3AE27BF0"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085D9CD6" w14:textId="77777777" w:rsidR="008D68AB" w:rsidRPr="00EB1979" w:rsidRDefault="008D68AB" w:rsidP="00B5156D">
            <w:pPr>
              <w:jc w:val="center"/>
              <w:rPr>
                <w:sz w:val="20"/>
                <w:lang w:val="en-GB"/>
              </w:rPr>
            </w:pPr>
            <w:r w:rsidRPr="00EB1979">
              <w:rPr>
                <w:sz w:val="20"/>
                <w:lang w:val="en-GB"/>
              </w:rPr>
              <w:t>1.72</w:t>
            </w:r>
          </w:p>
        </w:tc>
        <w:tc>
          <w:tcPr>
            <w:tcW w:w="1007" w:type="dxa"/>
            <w:tcBorders>
              <w:top w:val="nil"/>
              <w:left w:val="nil"/>
              <w:bottom w:val="single" w:sz="4" w:space="0" w:color="auto"/>
              <w:right w:val="single" w:sz="4" w:space="0" w:color="auto"/>
            </w:tcBorders>
            <w:shd w:val="clear" w:color="auto" w:fill="auto"/>
            <w:vAlign w:val="center"/>
          </w:tcPr>
          <w:p w14:paraId="0A568347" w14:textId="77777777" w:rsidR="008D68AB" w:rsidRPr="00EB1979" w:rsidRDefault="008D68AB" w:rsidP="00B5156D">
            <w:pPr>
              <w:jc w:val="center"/>
              <w:rPr>
                <w:sz w:val="20"/>
                <w:lang w:val="en-GB"/>
              </w:rPr>
            </w:pPr>
            <w:r w:rsidRPr="00EB1979">
              <w:rPr>
                <w:sz w:val="20"/>
                <w:lang w:val="en-GB"/>
              </w:rPr>
              <w:t>1.90</w:t>
            </w:r>
          </w:p>
        </w:tc>
        <w:tc>
          <w:tcPr>
            <w:tcW w:w="1007" w:type="dxa"/>
            <w:tcBorders>
              <w:top w:val="nil"/>
              <w:left w:val="nil"/>
              <w:bottom w:val="single" w:sz="4" w:space="0" w:color="auto"/>
              <w:right w:val="single" w:sz="4" w:space="0" w:color="auto"/>
            </w:tcBorders>
            <w:shd w:val="clear" w:color="auto" w:fill="auto"/>
            <w:vAlign w:val="center"/>
          </w:tcPr>
          <w:p w14:paraId="33F703D9" w14:textId="77777777" w:rsidR="008D68AB" w:rsidRPr="00EB1979" w:rsidRDefault="008D68AB" w:rsidP="00B5156D">
            <w:pPr>
              <w:jc w:val="center"/>
              <w:rPr>
                <w:sz w:val="20"/>
                <w:lang w:val="en-GB"/>
              </w:rPr>
            </w:pPr>
            <w:r w:rsidRPr="00EB1979">
              <w:rPr>
                <w:sz w:val="20"/>
                <w:lang w:val="en-GB"/>
              </w:rPr>
              <w:t>1.82</w:t>
            </w:r>
          </w:p>
        </w:tc>
        <w:tc>
          <w:tcPr>
            <w:tcW w:w="3219" w:type="dxa"/>
            <w:tcBorders>
              <w:top w:val="nil"/>
              <w:left w:val="nil"/>
              <w:bottom w:val="single" w:sz="4" w:space="0" w:color="auto"/>
              <w:right w:val="single" w:sz="4" w:space="0" w:color="auto"/>
            </w:tcBorders>
            <w:shd w:val="clear" w:color="auto" w:fill="auto"/>
            <w:vAlign w:val="center"/>
          </w:tcPr>
          <w:p w14:paraId="265B797F" w14:textId="77777777" w:rsidR="008D68AB" w:rsidRPr="00EB1979" w:rsidRDefault="008D68AB" w:rsidP="00B5156D">
            <w:pPr>
              <w:rPr>
                <w:i/>
                <w:iCs/>
                <w:sz w:val="20"/>
                <w:szCs w:val="20"/>
                <w:lang w:val="en-GB"/>
              </w:rPr>
            </w:pPr>
            <w:r w:rsidRPr="00EB1979">
              <w:rPr>
                <w:i/>
                <w:iCs/>
                <w:sz w:val="20"/>
                <w:szCs w:val="20"/>
                <w:lang w:val="en-GB" w:eastAsia="lt-LT"/>
              </w:rPr>
              <w:t>Debt to equity ratio</w:t>
            </w:r>
            <w:r w:rsidRPr="00EB1979">
              <w:rPr>
                <w:i/>
                <w:iCs/>
                <w:sz w:val="20"/>
                <w:szCs w:val="20"/>
                <w:lang w:eastAsia="lt-LT"/>
              </w:rPr>
              <w:t xml:space="preserve"> </w:t>
            </w:r>
            <w:r w:rsidRPr="00EB1979">
              <w:rPr>
                <w:i/>
                <w:iCs/>
                <w:sz w:val="20"/>
                <w:szCs w:val="20"/>
                <w:vertAlign w:val="superscript"/>
                <w:lang w:eastAsia="lt-LT"/>
              </w:rPr>
              <w:t xml:space="preserve">10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1E50B290" w14:textId="77777777" w:rsidR="008D68AB" w:rsidRPr="00EB1979" w:rsidRDefault="008D68AB" w:rsidP="00B5156D">
            <w:pPr>
              <w:jc w:val="center"/>
              <w:rPr>
                <w:sz w:val="20"/>
                <w:lang w:val="en-GB"/>
              </w:rPr>
            </w:pPr>
            <w:r w:rsidRPr="00EB1979">
              <w:rPr>
                <w:sz w:val="20"/>
                <w:lang w:val="en-GB"/>
              </w:rPr>
              <w:t>1.85</w:t>
            </w:r>
          </w:p>
        </w:tc>
        <w:tc>
          <w:tcPr>
            <w:tcW w:w="1040" w:type="dxa"/>
            <w:tcBorders>
              <w:top w:val="nil"/>
              <w:left w:val="nil"/>
              <w:bottom w:val="single" w:sz="4" w:space="0" w:color="auto"/>
              <w:right w:val="single" w:sz="4" w:space="0" w:color="auto"/>
            </w:tcBorders>
            <w:shd w:val="clear" w:color="auto" w:fill="auto"/>
            <w:vAlign w:val="center"/>
          </w:tcPr>
          <w:p w14:paraId="18DF0559" w14:textId="77777777" w:rsidR="008D68AB" w:rsidRPr="00EB1979" w:rsidRDefault="008D68AB" w:rsidP="00B5156D">
            <w:pPr>
              <w:jc w:val="center"/>
              <w:rPr>
                <w:sz w:val="20"/>
                <w:lang w:val="en-GB"/>
              </w:rPr>
            </w:pPr>
            <w:r w:rsidRPr="00EB1979">
              <w:rPr>
                <w:sz w:val="20"/>
                <w:lang w:val="en-GB"/>
              </w:rPr>
              <w:t>1.19</w:t>
            </w:r>
          </w:p>
        </w:tc>
        <w:tc>
          <w:tcPr>
            <w:tcW w:w="1040" w:type="dxa"/>
            <w:tcBorders>
              <w:top w:val="nil"/>
              <w:left w:val="nil"/>
              <w:bottom w:val="single" w:sz="4" w:space="0" w:color="auto"/>
              <w:right w:val="single" w:sz="4" w:space="0" w:color="auto"/>
            </w:tcBorders>
            <w:shd w:val="clear" w:color="auto" w:fill="auto"/>
            <w:vAlign w:val="center"/>
          </w:tcPr>
          <w:p w14:paraId="3EDCE24D" w14:textId="77777777" w:rsidR="008D68AB" w:rsidRPr="00EB1979" w:rsidRDefault="008D68AB" w:rsidP="00B5156D">
            <w:pPr>
              <w:jc w:val="center"/>
              <w:rPr>
                <w:sz w:val="20"/>
                <w:lang w:val="en-GB"/>
              </w:rPr>
            </w:pPr>
            <w:r w:rsidRPr="00EB1979">
              <w:rPr>
                <w:sz w:val="20"/>
                <w:lang w:val="en-GB"/>
              </w:rPr>
              <w:t>1.46</w:t>
            </w:r>
          </w:p>
        </w:tc>
      </w:tr>
      <w:tr w:rsidR="008D68AB" w:rsidRPr="00EB1979" w14:paraId="2384AA9C" w14:textId="77777777" w:rsidTr="00B5156D">
        <w:trPr>
          <w:trHeight w:val="340"/>
        </w:trPr>
        <w:tc>
          <w:tcPr>
            <w:tcW w:w="1007" w:type="dxa"/>
            <w:tcBorders>
              <w:top w:val="nil"/>
              <w:left w:val="single" w:sz="4" w:space="0" w:color="auto"/>
              <w:bottom w:val="single" w:sz="4" w:space="0" w:color="auto"/>
              <w:right w:val="single" w:sz="4" w:space="0" w:color="auto"/>
            </w:tcBorders>
            <w:shd w:val="clear" w:color="auto" w:fill="auto"/>
            <w:vAlign w:val="center"/>
          </w:tcPr>
          <w:p w14:paraId="1DB98978" w14:textId="77777777" w:rsidR="008D68AB" w:rsidRPr="00EB1979" w:rsidRDefault="008D68AB" w:rsidP="00B5156D">
            <w:pPr>
              <w:jc w:val="center"/>
              <w:rPr>
                <w:sz w:val="20"/>
                <w:lang w:val="en-GB"/>
              </w:rPr>
            </w:pPr>
            <w:r w:rsidRPr="00EB1979">
              <w:rPr>
                <w:sz w:val="20"/>
                <w:lang w:val="en-GB"/>
              </w:rPr>
              <w:t>1.61</w:t>
            </w:r>
          </w:p>
        </w:tc>
        <w:tc>
          <w:tcPr>
            <w:tcW w:w="1007" w:type="dxa"/>
            <w:tcBorders>
              <w:top w:val="nil"/>
              <w:left w:val="nil"/>
              <w:bottom w:val="single" w:sz="4" w:space="0" w:color="auto"/>
              <w:right w:val="single" w:sz="4" w:space="0" w:color="auto"/>
            </w:tcBorders>
            <w:shd w:val="clear" w:color="auto" w:fill="auto"/>
            <w:vAlign w:val="center"/>
          </w:tcPr>
          <w:p w14:paraId="71DB8DEB" w14:textId="77777777" w:rsidR="008D68AB" w:rsidRPr="00EB1979" w:rsidRDefault="008D68AB" w:rsidP="00B5156D">
            <w:pPr>
              <w:jc w:val="center"/>
              <w:rPr>
                <w:sz w:val="20"/>
                <w:lang w:val="en-GB"/>
              </w:rPr>
            </w:pPr>
            <w:r w:rsidRPr="00EB1979">
              <w:rPr>
                <w:sz w:val="20"/>
                <w:lang w:val="en-GB"/>
              </w:rPr>
              <w:t>1.79</w:t>
            </w:r>
          </w:p>
        </w:tc>
        <w:tc>
          <w:tcPr>
            <w:tcW w:w="1007" w:type="dxa"/>
            <w:tcBorders>
              <w:top w:val="nil"/>
              <w:left w:val="nil"/>
              <w:bottom w:val="single" w:sz="4" w:space="0" w:color="auto"/>
              <w:right w:val="single" w:sz="4" w:space="0" w:color="auto"/>
            </w:tcBorders>
            <w:shd w:val="clear" w:color="auto" w:fill="auto"/>
            <w:vAlign w:val="center"/>
          </w:tcPr>
          <w:p w14:paraId="0EE05B99" w14:textId="77777777" w:rsidR="008D68AB" w:rsidRPr="00EB1979" w:rsidRDefault="008D68AB" w:rsidP="00B5156D">
            <w:pPr>
              <w:jc w:val="center"/>
              <w:rPr>
                <w:sz w:val="20"/>
                <w:lang w:val="en-GB"/>
              </w:rPr>
            </w:pPr>
            <w:r w:rsidRPr="00EB1979">
              <w:rPr>
                <w:sz w:val="20"/>
                <w:lang w:val="en-GB"/>
              </w:rPr>
              <w:t>1.88</w:t>
            </w:r>
          </w:p>
        </w:tc>
        <w:tc>
          <w:tcPr>
            <w:tcW w:w="3219" w:type="dxa"/>
            <w:tcBorders>
              <w:top w:val="nil"/>
              <w:left w:val="nil"/>
              <w:bottom w:val="single" w:sz="4" w:space="0" w:color="auto"/>
              <w:right w:val="single" w:sz="4" w:space="0" w:color="auto"/>
            </w:tcBorders>
            <w:shd w:val="clear" w:color="auto" w:fill="auto"/>
            <w:vAlign w:val="center"/>
          </w:tcPr>
          <w:p w14:paraId="5026AD5C" w14:textId="77777777" w:rsidR="008D68AB" w:rsidRPr="00EB1979" w:rsidRDefault="008D68AB" w:rsidP="00B5156D">
            <w:pPr>
              <w:rPr>
                <w:i/>
                <w:iCs/>
                <w:sz w:val="20"/>
                <w:vertAlign w:val="superscript"/>
                <w:lang w:val="en-GB"/>
              </w:rPr>
            </w:pPr>
            <w:r w:rsidRPr="00EB1979">
              <w:rPr>
                <w:i/>
                <w:iCs/>
                <w:sz w:val="20"/>
                <w:lang w:val="en-GB"/>
              </w:rPr>
              <w:t xml:space="preserve">Book value per share </w:t>
            </w:r>
            <w:r w:rsidRPr="00EB1979">
              <w:rPr>
                <w:i/>
                <w:iCs/>
                <w:sz w:val="20"/>
                <w:vertAlign w:val="superscript"/>
                <w:lang w:val="en-GB"/>
              </w:rPr>
              <w:t xml:space="preserve">11 </w:t>
            </w:r>
            <w:r w:rsidRPr="00EB1979">
              <w:rPr>
                <w:i/>
                <w:iCs/>
                <w:sz w:val="20"/>
                <w:lang w:val="en-GB"/>
              </w:rPr>
              <w:t>(API)</w:t>
            </w:r>
          </w:p>
        </w:tc>
        <w:tc>
          <w:tcPr>
            <w:tcW w:w="1040" w:type="dxa"/>
            <w:tcBorders>
              <w:top w:val="nil"/>
              <w:left w:val="nil"/>
              <w:bottom w:val="single" w:sz="4" w:space="0" w:color="auto"/>
              <w:right w:val="single" w:sz="4" w:space="0" w:color="auto"/>
            </w:tcBorders>
            <w:shd w:val="clear" w:color="auto" w:fill="auto"/>
            <w:vAlign w:val="center"/>
          </w:tcPr>
          <w:p w14:paraId="76D585C6" w14:textId="77777777" w:rsidR="008D68AB" w:rsidRPr="00EB1979" w:rsidRDefault="008D68AB" w:rsidP="00B5156D">
            <w:pPr>
              <w:jc w:val="center"/>
              <w:rPr>
                <w:sz w:val="20"/>
                <w:lang w:val="en-GB"/>
              </w:rPr>
            </w:pPr>
            <w:r w:rsidRPr="00EB1979">
              <w:rPr>
                <w:sz w:val="20"/>
                <w:lang w:val="en-GB"/>
              </w:rPr>
              <w:t>1.34</w:t>
            </w:r>
          </w:p>
        </w:tc>
        <w:tc>
          <w:tcPr>
            <w:tcW w:w="1040" w:type="dxa"/>
            <w:tcBorders>
              <w:top w:val="nil"/>
              <w:left w:val="nil"/>
              <w:bottom w:val="single" w:sz="4" w:space="0" w:color="auto"/>
              <w:right w:val="single" w:sz="4" w:space="0" w:color="auto"/>
            </w:tcBorders>
            <w:shd w:val="clear" w:color="auto" w:fill="auto"/>
            <w:vAlign w:val="center"/>
          </w:tcPr>
          <w:p w14:paraId="7879F796" w14:textId="77777777" w:rsidR="008D68AB" w:rsidRPr="00EB1979" w:rsidRDefault="008D68AB" w:rsidP="00B5156D">
            <w:pPr>
              <w:jc w:val="center"/>
              <w:rPr>
                <w:sz w:val="20"/>
                <w:lang w:val="en-GB"/>
              </w:rPr>
            </w:pPr>
            <w:r w:rsidRPr="00EB1979">
              <w:rPr>
                <w:sz w:val="20"/>
                <w:lang w:val="en-GB"/>
              </w:rPr>
              <w:t>1.35</w:t>
            </w:r>
          </w:p>
        </w:tc>
        <w:tc>
          <w:tcPr>
            <w:tcW w:w="1040" w:type="dxa"/>
            <w:tcBorders>
              <w:top w:val="nil"/>
              <w:left w:val="nil"/>
              <w:bottom w:val="single" w:sz="4" w:space="0" w:color="auto"/>
              <w:right w:val="single" w:sz="4" w:space="0" w:color="auto"/>
            </w:tcBorders>
            <w:shd w:val="clear" w:color="auto" w:fill="auto"/>
            <w:vAlign w:val="center"/>
          </w:tcPr>
          <w:p w14:paraId="7A1C1CAA" w14:textId="77777777" w:rsidR="008D68AB" w:rsidRPr="00EB1979" w:rsidRDefault="008D68AB" w:rsidP="00B5156D">
            <w:pPr>
              <w:jc w:val="center"/>
              <w:rPr>
                <w:sz w:val="20"/>
                <w:lang w:val="en-GB"/>
              </w:rPr>
            </w:pPr>
            <w:r w:rsidRPr="00EB1979">
              <w:rPr>
                <w:sz w:val="20"/>
                <w:lang w:val="en-GB"/>
              </w:rPr>
              <w:t>1.31</w:t>
            </w:r>
          </w:p>
        </w:tc>
      </w:tr>
      <w:tr w:rsidR="008D68AB" w:rsidRPr="00EB1979" w14:paraId="6537BFC3" w14:textId="77777777" w:rsidTr="00B5156D">
        <w:trPr>
          <w:trHeight w:val="567"/>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391D819" w14:textId="77777777" w:rsidR="008D68AB" w:rsidRPr="00EB1979" w:rsidRDefault="008D68AB" w:rsidP="00B5156D">
            <w:pPr>
              <w:jc w:val="center"/>
              <w:rPr>
                <w:sz w:val="20"/>
                <w:lang w:val="en-GB"/>
              </w:rPr>
            </w:pPr>
            <w:r w:rsidRPr="00EB1979">
              <w:rPr>
                <w:sz w:val="20"/>
                <w:lang w:val="en-GB"/>
              </w:rPr>
              <w:t>0.35</w:t>
            </w:r>
          </w:p>
        </w:tc>
        <w:tc>
          <w:tcPr>
            <w:tcW w:w="1007" w:type="dxa"/>
            <w:tcBorders>
              <w:top w:val="single" w:sz="4" w:space="0" w:color="auto"/>
              <w:left w:val="nil"/>
              <w:bottom w:val="single" w:sz="4" w:space="0" w:color="auto"/>
              <w:right w:val="single" w:sz="4" w:space="0" w:color="auto"/>
            </w:tcBorders>
            <w:shd w:val="clear" w:color="auto" w:fill="auto"/>
            <w:vAlign w:val="center"/>
          </w:tcPr>
          <w:p w14:paraId="7D1BFE1C" w14:textId="77777777" w:rsidR="008D68AB" w:rsidRPr="00EB1979" w:rsidRDefault="008D68AB" w:rsidP="00B5156D">
            <w:pPr>
              <w:jc w:val="center"/>
              <w:rPr>
                <w:sz w:val="20"/>
                <w:lang w:val="en-GB"/>
              </w:rPr>
            </w:pPr>
            <w:r w:rsidRPr="00EB1979">
              <w:rPr>
                <w:sz w:val="20"/>
                <w:lang w:val="en-GB"/>
              </w:rPr>
              <w:t>0.37</w:t>
            </w:r>
          </w:p>
        </w:tc>
        <w:tc>
          <w:tcPr>
            <w:tcW w:w="1007" w:type="dxa"/>
            <w:tcBorders>
              <w:top w:val="single" w:sz="4" w:space="0" w:color="auto"/>
              <w:left w:val="nil"/>
              <w:bottom w:val="single" w:sz="4" w:space="0" w:color="auto"/>
              <w:right w:val="single" w:sz="4" w:space="0" w:color="auto"/>
            </w:tcBorders>
            <w:shd w:val="clear" w:color="auto" w:fill="auto"/>
            <w:vAlign w:val="center"/>
          </w:tcPr>
          <w:p w14:paraId="35F07FDE" w14:textId="77777777" w:rsidR="008D68AB" w:rsidRPr="00EB1979" w:rsidRDefault="008D68AB" w:rsidP="00B5156D">
            <w:pPr>
              <w:jc w:val="center"/>
              <w:rPr>
                <w:sz w:val="20"/>
                <w:lang w:val="en-GB"/>
              </w:rPr>
            </w:pPr>
            <w:r w:rsidRPr="00EB1979">
              <w:rPr>
                <w:sz w:val="20"/>
                <w:lang w:val="en-GB"/>
              </w:rPr>
              <w:t>0.28</w:t>
            </w:r>
          </w:p>
        </w:tc>
        <w:tc>
          <w:tcPr>
            <w:tcW w:w="3219" w:type="dxa"/>
            <w:tcBorders>
              <w:top w:val="single" w:sz="4" w:space="0" w:color="auto"/>
              <w:left w:val="nil"/>
              <w:bottom w:val="single" w:sz="4" w:space="0" w:color="auto"/>
              <w:right w:val="nil"/>
            </w:tcBorders>
            <w:shd w:val="clear" w:color="auto" w:fill="auto"/>
            <w:noWrap/>
            <w:vAlign w:val="center"/>
          </w:tcPr>
          <w:p w14:paraId="66663FB0" w14:textId="77777777" w:rsidR="008D68AB" w:rsidRPr="00EB1979" w:rsidRDefault="008D68AB" w:rsidP="00B5156D">
            <w:pPr>
              <w:ind w:right="-5"/>
              <w:rPr>
                <w:i/>
                <w:iCs/>
                <w:sz w:val="20"/>
                <w:vertAlign w:val="superscript"/>
                <w:lang w:val="en-GB"/>
              </w:rPr>
            </w:pPr>
            <w:r w:rsidRPr="00EB1979">
              <w:rPr>
                <w:i/>
                <w:iCs/>
                <w:sz w:val="20"/>
                <w:lang w:val="en-GB"/>
              </w:rPr>
              <w:t xml:space="preserve">Price-to-book ratio </w:t>
            </w:r>
            <w:r w:rsidRPr="00EB1979">
              <w:rPr>
                <w:bCs/>
                <w:i/>
                <w:iCs/>
                <w:sz w:val="20"/>
                <w:lang w:val="en-GB"/>
              </w:rPr>
              <w:t xml:space="preserve">(P/B ratio) </w:t>
            </w:r>
            <w:r w:rsidRPr="00EB1979">
              <w:rPr>
                <w:bCs/>
                <w:i/>
                <w:iCs/>
                <w:sz w:val="20"/>
                <w:vertAlign w:val="superscript"/>
                <w:lang w:val="en-GB"/>
              </w:rPr>
              <w:t xml:space="preserve">12 </w:t>
            </w:r>
            <w:r w:rsidRPr="00EB1979">
              <w:rPr>
                <w:i/>
                <w:iCs/>
                <w:sz w:val="20"/>
                <w:lang w:val="en-GB"/>
              </w:rPr>
              <w:t>(API)</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BA62D2F" w14:textId="77777777" w:rsidR="008D68AB" w:rsidRPr="00EB1979" w:rsidRDefault="008D68AB" w:rsidP="00B5156D">
            <w:pPr>
              <w:jc w:val="center"/>
              <w:rPr>
                <w:sz w:val="20"/>
                <w:lang w:val="en-GB"/>
              </w:rPr>
            </w:pPr>
            <w:r w:rsidRPr="00EB1979">
              <w:rPr>
                <w:sz w:val="20"/>
                <w:lang w:val="en-GB"/>
              </w:rPr>
              <w:t>0.43</w:t>
            </w:r>
          </w:p>
        </w:tc>
        <w:tc>
          <w:tcPr>
            <w:tcW w:w="1040" w:type="dxa"/>
            <w:tcBorders>
              <w:top w:val="single" w:sz="4" w:space="0" w:color="auto"/>
              <w:left w:val="nil"/>
              <w:bottom w:val="single" w:sz="4" w:space="0" w:color="auto"/>
              <w:right w:val="single" w:sz="4" w:space="0" w:color="auto"/>
            </w:tcBorders>
            <w:shd w:val="clear" w:color="auto" w:fill="auto"/>
            <w:vAlign w:val="center"/>
          </w:tcPr>
          <w:p w14:paraId="312053A5" w14:textId="77777777" w:rsidR="008D68AB" w:rsidRPr="00EB1979" w:rsidRDefault="008D68AB" w:rsidP="00B5156D">
            <w:pPr>
              <w:jc w:val="center"/>
              <w:rPr>
                <w:sz w:val="20"/>
                <w:lang w:val="en-GB"/>
              </w:rPr>
            </w:pPr>
            <w:r w:rsidRPr="00EB1979">
              <w:rPr>
                <w:sz w:val="20"/>
                <w:lang w:val="en-GB"/>
              </w:rPr>
              <w:t>0.49</w:t>
            </w:r>
          </w:p>
        </w:tc>
        <w:tc>
          <w:tcPr>
            <w:tcW w:w="1040" w:type="dxa"/>
            <w:tcBorders>
              <w:top w:val="single" w:sz="4" w:space="0" w:color="auto"/>
              <w:left w:val="nil"/>
              <w:bottom w:val="single" w:sz="4" w:space="0" w:color="auto"/>
              <w:right w:val="single" w:sz="4" w:space="0" w:color="auto"/>
            </w:tcBorders>
            <w:shd w:val="clear" w:color="auto" w:fill="auto"/>
            <w:vAlign w:val="center"/>
          </w:tcPr>
          <w:p w14:paraId="4035A640" w14:textId="77777777" w:rsidR="008D68AB" w:rsidRPr="00EB1979" w:rsidRDefault="008D68AB" w:rsidP="00B5156D">
            <w:pPr>
              <w:jc w:val="center"/>
              <w:rPr>
                <w:sz w:val="20"/>
                <w:lang w:val="en-GB"/>
              </w:rPr>
            </w:pPr>
            <w:r w:rsidRPr="00EB1979">
              <w:rPr>
                <w:sz w:val="20"/>
                <w:lang w:val="en-GB"/>
              </w:rPr>
              <w:t>0.39</w:t>
            </w:r>
          </w:p>
        </w:tc>
      </w:tr>
      <w:tr w:rsidR="008D68AB" w:rsidRPr="009B771D" w14:paraId="360AE65E" w14:textId="77777777" w:rsidTr="00B5156D">
        <w:trPr>
          <w:trHeight w:val="340"/>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6C485DE" w14:textId="77777777" w:rsidR="008D68AB" w:rsidRPr="00EB1979" w:rsidRDefault="008D68AB" w:rsidP="00B5156D">
            <w:pPr>
              <w:jc w:val="center"/>
              <w:rPr>
                <w:sz w:val="20"/>
                <w:lang w:val="en-GB"/>
              </w:rPr>
            </w:pPr>
            <w:r w:rsidRPr="00EB1979">
              <w:rPr>
                <w:sz w:val="20"/>
                <w:lang w:val="en-GB"/>
              </w:rPr>
              <w:t>-0.89</w:t>
            </w:r>
          </w:p>
        </w:tc>
        <w:tc>
          <w:tcPr>
            <w:tcW w:w="1007" w:type="dxa"/>
            <w:tcBorders>
              <w:top w:val="single" w:sz="4" w:space="0" w:color="auto"/>
              <w:left w:val="nil"/>
              <w:bottom w:val="single" w:sz="4" w:space="0" w:color="auto"/>
              <w:right w:val="single" w:sz="4" w:space="0" w:color="auto"/>
            </w:tcBorders>
            <w:shd w:val="clear" w:color="auto" w:fill="auto"/>
            <w:vAlign w:val="center"/>
          </w:tcPr>
          <w:p w14:paraId="5C5049F2" w14:textId="77777777" w:rsidR="008D68AB" w:rsidRPr="00EB1979" w:rsidRDefault="008D68AB" w:rsidP="00B5156D">
            <w:pPr>
              <w:jc w:val="center"/>
              <w:rPr>
                <w:sz w:val="20"/>
                <w:lang w:val="en-GB"/>
              </w:rPr>
            </w:pPr>
            <w:r w:rsidRPr="00EB1979">
              <w:rPr>
                <w:sz w:val="20"/>
                <w:lang w:val="en-GB"/>
              </w:rPr>
              <w:t>3.08</w:t>
            </w:r>
          </w:p>
        </w:tc>
        <w:tc>
          <w:tcPr>
            <w:tcW w:w="1007" w:type="dxa"/>
            <w:tcBorders>
              <w:top w:val="single" w:sz="4" w:space="0" w:color="auto"/>
              <w:left w:val="nil"/>
              <w:bottom w:val="single" w:sz="4" w:space="0" w:color="auto"/>
              <w:right w:val="single" w:sz="4" w:space="0" w:color="auto"/>
            </w:tcBorders>
            <w:shd w:val="clear" w:color="auto" w:fill="auto"/>
            <w:vAlign w:val="center"/>
          </w:tcPr>
          <w:p w14:paraId="0F31C0E1" w14:textId="77777777" w:rsidR="008D68AB" w:rsidRPr="00EB1979" w:rsidRDefault="008D68AB" w:rsidP="00B5156D">
            <w:pPr>
              <w:jc w:val="center"/>
              <w:rPr>
                <w:sz w:val="20"/>
                <w:lang w:val="en-GB"/>
              </w:rPr>
            </w:pPr>
            <w:r w:rsidRPr="00EB1979">
              <w:rPr>
                <w:sz w:val="20"/>
                <w:lang w:val="en-GB"/>
              </w:rPr>
              <w:t>16.13</w:t>
            </w:r>
          </w:p>
        </w:tc>
        <w:tc>
          <w:tcPr>
            <w:tcW w:w="3219" w:type="dxa"/>
            <w:tcBorders>
              <w:top w:val="single" w:sz="4" w:space="0" w:color="auto"/>
              <w:left w:val="nil"/>
              <w:bottom w:val="single" w:sz="4" w:space="0" w:color="auto"/>
              <w:right w:val="nil"/>
            </w:tcBorders>
            <w:shd w:val="clear" w:color="auto" w:fill="auto"/>
            <w:noWrap/>
            <w:vAlign w:val="center"/>
          </w:tcPr>
          <w:p w14:paraId="02C123CD" w14:textId="77777777" w:rsidR="008D68AB" w:rsidRPr="00EB1979" w:rsidRDefault="008D68AB" w:rsidP="00B5156D">
            <w:pPr>
              <w:rPr>
                <w:i/>
                <w:iCs/>
                <w:sz w:val="20"/>
                <w:lang w:val="en-GB"/>
              </w:rPr>
            </w:pPr>
            <w:r w:rsidRPr="00EB1979">
              <w:rPr>
                <w:i/>
                <w:iCs/>
                <w:sz w:val="20"/>
                <w:lang w:val="en-GB"/>
              </w:rPr>
              <w:t xml:space="preserve">Price-to-earnings ratio (P/E) </w:t>
            </w:r>
            <w:r w:rsidRPr="00EB1979">
              <w:rPr>
                <w:i/>
                <w:iCs/>
                <w:sz w:val="20"/>
                <w:vertAlign w:val="superscript"/>
                <w:lang w:val="en-GB"/>
              </w:rPr>
              <w:t xml:space="preserve">13 </w:t>
            </w:r>
            <w:r w:rsidRPr="00EB1979">
              <w:rPr>
                <w:i/>
                <w:iCs/>
                <w:sz w:val="20"/>
                <w:lang w:val="en-GB"/>
              </w:rPr>
              <w:t>(API)</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46871B75" w14:textId="77777777" w:rsidR="008D68AB" w:rsidRPr="00EB1979" w:rsidRDefault="008D68AB" w:rsidP="00B5156D">
            <w:pPr>
              <w:jc w:val="center"/>
              <w:rPr>
                <w:sz w:val="20"/>
                <w:lang w:val="en-GB"/>
              </w:rPr>
            </w:pPr>
            <w:r w:rsidRPr="00EB1979">
              <w:rPr>
                <w:sz w:val="20"/>
                <w:lang w:val="en-GB"/>
              </w:rPr>
              <w:t>-0.75</w:t>
            </w:r>
          </w:p>
        </w:tc>
        <w:tc>
          <w:tcPr>
            <w:tcW w:w="1040" w:type="dxa"/>
            <w:tcBorders>
              <w:top w:val="single" w:sz="4" w:space="0" w:color="auto"/>
              <w:left w:val="nil"/>
              <w:bottom w:val="single" w:sz="4" w:space="0" w:color="auto"/>
              <w:right w:val="single" w:sz="4" w:space="0" w:color="auto"/>
            </w:tcBorders>
            <w:shd w:val="clear" w:color="auto" w:fill="auto"/>
            <w:vAlign w:val="center"/>
          </w:tcPr>
          <w:p w14:paraId="483522E2" w14:textId="77777777" w:rsidR="008D68AB" w:rsidRPr="00EB1979" w:rsidRDefault="008D68AB" w:rsidP="00B5156D">
            <w:pPr>
              <w:jc w:val="center"/>
              <w:rPr>
                <w:sz w:val="20"/>
                <w:lang w:val="en-GB"/>
              </w:rPr>
            </w:pPr>
            <w:r w:rsidRPr="00EB1979">
              <w:rPr>
                <w:sz w:val="20"/>
                <w:lang w:val="en-GB"/>
              </w:rPr>
              <w:t>35.50</w:t>
            </w:r>
          </w:p>
        </w:tc>
        <w:tc>
          <w:tcPr>
            <w:tcW w:w="1040" w:type="dxa"/>
            <w:tcBorders>
              <w:top w:val="single" w:sz="4" w:space="0" w:color="auto"/>
              <w:left w:val="nil"/>
              <w:bottom w:val="single" w:sz="4" w:space="0" w:color="auto"/>
              <w:right w:val="single" w:sz="4" w:space="0" w:color="auto"/>
            </w:tcBorders>
            <w:shd w:val="clear" w:color="auto" w:fill="auto"/>
            <w:vAlign w:val="center"/>
          </w:tcPr>
          <w:p w14:paraId="39881E9B" w14:textId="77777777" w:rsidR="008D68AB" w:rsidRPr="00B81B4A" w:rsidRDefault="008D68AB" w:rsidP="00B5156D">
            <w:pPr>
              <w:jc w:val="center"/>
              <w:rPr>
                <w:sz w:val="20"/>
                <w:lang w:val="en-GB"/>
              </w:rPr>
            </w:pPr>
            <w:r w:rsidRPr="00EB1979">
              <w:rPr>
                <w:sz w:val="20"/>
                <w:lang w:val="en-GB"/>
              </w:rPr>
              <w:t>-4.92</w:t>
            </w:r>
          </w:p>
        </w:tc>
      </w:tr>
    </w:tbl>
    <w:p w14:paraId="5B34779E" w14:textId="77777777" w:rsidR="008D68AB" w:rsidRDefault="008D68AB" w:rsidP="008D68AB">
      <w:pPr>
        <w:jc w:val="both"/>
        <w:rPr>
          <w:i/>
          <w:iCs/>
          <w:sz w:val="18"/>
          <w:szCs w:val="18"/>
          <w:lang w:val="en-GB" w:eastAsia="lt-LT"/>
        </w:rPr>
      </w:pPr>
    </w:p>
    <w:p w14:paraId="06DDCF94" w14:textId="77777777" w:rsidR="008D68AB" w:rsidRPr="00DC17DE" w:rsidRDefault="008D68AB" w:rsidP="008D68AB">
      <w:pPr>
        <w:rPr>
          <w:i/>
          <w:iCs/>
          <w:sz w:val="18"/>
          <w:szCs w:val="18"/>
          <w:lang w:val="en-GB" w:eastAsia="lt-LT"/>
        </w:rPr>
      </w:pPr>
      <w:r>
        <w:rPr>
          <w:i/>
          <w:iCs/>
          <w:sz w:val="18"/>
          <w:szCs w:val="18"/>
          <w:vertAlign w:val="superscript"/>
          <w:lang w:val="en-GB" w:eastAsia="lt-LT"/>
        </w:rPr>
        <w:t xml:space="preserve">1 </w:t>
      </w:r>
      <w:r w:rsidRPr="00DC17DE">
        <w:rPr>
          <w:i/>
          <w:iCs/>
          <w:sz w:val="18"/>
          <w:szCs w:val="18"/>
          <w:lang w:val="en-GB" w:eastAsia="lt-LT"/>
        </w:rPr>
        <w:t>EBITDA = profit before taxes, interest, depreciation and amortization. The essence of EBITDA indicator is to determine the most objective profit (loss) of the company, which is least dependable on circumstances (least variable).</w:t>
      </w:r>
    </w:p>
    <w:p w14:paraId="067118D1" w14:textId="77777777" w:rsidR="008D68AB" w:rsidRPr="00DC17DE" w:rsidRDefault="008D68AB" w:rsidP="008D68AB">
      <w:pPr>
        <w:rPr>
          <w:i/>
          <w:sz w:val="18"/>
          <w:szCs w:val="18"/>
          <w:lang w:val="en-GB"/>
        </w:rPr>
      </w:pPr>
      <w:r w:rsidRPr="00DC17DE">
        <w:rPr>
          <w:i/>
          <w:iCs/>
          <w:sz w:val="18"/>
          <w:szCs w:val="18"/>
          <w:vertAlign w:val="superscript"/>
          <w:lang w:val="en-GB" w:eastAsia="lt-LT"/>
        </w:rPr>
        <w:t xml:space="preserve">2 </w:t>
      </w:r>
      <w:r w:rsidRPr="00DC17DE">
        <w:rPr>
          <w:i/>
          <w:iCs/>
          <w:sz w:val="18"/>
          <w:szCs w:val="18"/>
          <w:lang w:val="en-GB" w:eastAsia="lt-LT"/>
        </w:rPr>
        <w:t>Earnings per share (Euros) = net profit (loss) / number of issued shares.</w:t>
      </w:r>
    </w:p>
    <w:p w14:paraId="3BD1B84F" w14:textId="77777777" w:rsidR="008D68AB" w:rsidRPr="00DC17DE" w:rsidRDefault="008D68AB" w:rsidP="008D68AB">
      <w:pPr>
        <w:jc w:val="both"/>
        <w:rPr>
          <w:rStyle w:val="Emfaz"/>
          <w:sz w:val="18"/>
          <w:szCs w:val="18"/>
          <w:lang w:val="en-GB"/>
        </w:rPr>
      </w:pPr>
      <w:r w:rsidRPr="00DC17DE">
        <w:rPr>
          <w:i/>
          <w:sz w:val="18"/>
          <w:szCs w:val="18"/>
          <w:vertAlign w:val="superscript"/>
          <w:lang w:val="en-GB" w:eastAsia="lt-LT"/>
        </w:rPr>
        <w:t>3</w:t>
      </w:r>
      <w:r w:rsidRPr="00DC17DE">
        <w:rPr>
          <w:iCs/>
          <w:sz w:val="18"/>
          <w:szCs w:val="18"/>
          <w:vertAlign w:val="superscript"/>
          <w:lang w:val="en-GB" w:eastAsia="lt-LT"/>
        </w:rPr>
        <w:t xml:space="preserve"> </w:t>
      </w:r>
      <w:r w:rsidRPr="00DC17DE">
        <w:rPr>
          <w:i/>
          <w:iCs/>
          <w:sz w:val="18"/>
          <w:szCs w:val="18"/>
          <w:lang w:val="en-GB"/>
        </w:rPr>
        <w:t>Return on equity (per cents</w:t>
      </w:r>
      <w:r w:rsidRPr="00DC17DE">
        <w:rPr>
          <w:i/>
          <w:iCs/>
          <w:sz w:val="18"/>
          <w:szCs w:val="18"/>
          <w:lang w:val="en-GB" w:eastAsia="lt-LT"/>
        </w:rPr>
        <w:t>) (ROE)</w:t>
      </w:r>
      <w:r w:rsidRPr="00DC17DE">
        <w:rPr>
          <w:iCs/>
          <w:sz w:val="18"/>
          <w:szCs w:val="18"/>
          <w:lang w:val="en-GB" w:eastAsia="lt-LT"/>
        </w:rPr>
        <w:t xml:space="preserve"> = </w:t>
      </w:r>
      <w:r w:rsidRPr="00DC17DE">
        <w:rPr>
          <w:rStyle w:val="Emfaz"/>
          <w:sz w:val="18"/>
          <w:szCs w:val="18"/>
          <w:lang w:val="en-GB"/>
        </w:rPr>
        <w:t>net profit / equity capital (a portion equity capital belonging to the shareholders).</w:t>
      </w:r>
    </w:p>
    <w:p w14:paraId="779872E2" w14:textId="77777777" w:rsidR="008D68AB" w:rsidRPr="00DC17DE" w:rsidRDefault="008D68AB" w:rsidP="008D68AB">
      <w:pPr>
        <w:rPr>
          <w:i/>
          <w:sz w:val="18"/>
          <w:szCs w:val="18"/>
          <w:vertAlign w:val="superscript"/>
          <w:lang w:val="en-GB"/>
        </w:rPr>
      </w:pPr>
      <w:r w:rsidRPr="00DC17DE">
        <w:rPr>
          <w:i/>
          <w:sz w:val="18"/>
          <w:szCs w:val="18"/>
          <w:vertAlign w:val="superscript"/>
          <w:lang w:val="en-GB"/>
        </w:rPr>
        <w:t xml:space="preserve">4 </w:t>
      </w:r>
      <w:r w:rsidRPr="00DC17DE">
        <w:rPr>
          <w:i/>
          <w:sz w:val="18"/>
          <w:szCs w:val="18"/>
          <w:lang w:val="en-GB"/>
        </w:rPr>
        <w:t xml:space="preserve">Return on assets </w:t>
      </w:r>
      <w:r w:rsidRPr="00DC17DE">
        <w:rPr>
          <w:i/>
          <w:iCs/>
          <w:sz w:val="18"/>
          <w:szCs w:val="18"/>
          <w:lang w:val="en-GB" w:eastAsia="lt-LT"/>
        </w:rPr>
        <w:t xml:space="preserve">(ROA) </w:t>
      </w:r>
      <w:r w:rsidRPr="00DC17DE">
        <w:rPr>
          <w:i/>
          <w:sz w:val="18"/>
          <w:szCs w:val="18"/>
          <w:lang w:val="en-GB"/>
        </w:rPr>
        <w:t>or asset profitability</w:t>
      </w:r>
      <w:r w:rsidRPr="00DC17DE">
        <w:rPr>
          <w:i/>
          <w:iCs/>
          <w:sz w:val="18"/>
          <w:szCs w:val="18"/>
          <w:lang w:val="en-GB" w:eastAsia="lt-LT"/>
        </w:rPr>
        <w:t xml:space="preserve"> = </w:t>
      </w:r>
      <w:r w:rsidRPr="00DC17DE">
        <w:rPr>
          <w:i/>
          <w:sz w:val="18"/>
          <w:szCs w:val="18"/>
          <w:lang w:val="en-GB" w:eastAsia="lt-LT"/>
        </w:rPr>
        <w:t>net profit / assets.</w:t>
      </w:r>
    </w:p>
    <w:p w14:paraId="2E7C2D2E" w14:textId="77777777" w:rsidR="008D68AB" w:rsidRPr="00DC17DE" w:rsidRDefault="008D68AB" w:rsidP="008D68AB">
      <w:pPr>
        <w:rPr>
          <w:i/>
          <w:sz w:val="18"/>
          <w:szCs w:val="18"/>
          <w:lang w:val="en-GB" w:eastAsia="lt-LT"/>
        </w:rPr>
      </w:pPr>
      <w:r w:rsidRPr="00DC17DE">
        <w:rPr>
          <w:i/>
          <w:iCs/>
          <w:sz w:val="18"/>
          <w:szCs w:val="18"/>
          <w:vertAlign w:val="superscript"/>
          <w:lang w:val="en-GB" w:eastAsia="lt-LT"/>
        </w:rPr>
        <w:t xml:space="preserve">5 </w:t>
      </w:r>
      <w:r w:rsidRPr="00DC17DE">
        <w:rPr>
          <w:i/>
          <w:iCs/>
          <w:sz w:val="18"/>
          <w:szCs w:val="18"/>
          <w:lang w:val="en-GB" w:eastAsia="lt-LT"/>
        </w:rPr>
        <w:t>Return on investments (ROI)</w:t>
      </w:r>
      <w:r w:rsidRPr="00DC17DE">
        <w:rPr>
          <w:i/>
          <w:sz w:val="18"/>
          <w:szCs w:val="18"/>
          <w:lang w:val="en-GB" w:eastAsia="lt-LT"/>
        </w:rPr>
        <w:t xml:space="preserve"> = net profit / (assets-current debt).</w:t>
      </w:r>
    </w:p>
    <w:p w14:paraId="6CDE18E5" w14:textId="77777777" w:rsidR="008D68AB" w:rsidRPr="00DC17DE" w:rsidRDefault="008D68AB" w:rsidP="008D68AB">
      <w:pPr>
        <w:rPr>
          <w:i/>
          <w:sz w:val="18"/>
          <w:szCs w:val="18"/>
          <w:lang w:val="en-GB"/>
        </w:rPr>
      </w:pPr>
      <w:r w:rsidRPr="00DC17DE">
        <w:rPr>
          <w:i/>
          <w:iCs/>
          <w:sz w:val="18"/>
          <w:szCs w:val="18"/>
          <w:vertAlign w:val="superscript"/>
          <w:lang w:val="en-GB" w:eastAsia="lt-LT"/>
        </w:rPr>
        <w:t xml:space="preserve">7 </w:t>
      </w:r>
      <w:r w:rsidRPr="00DC17DE">
        <w:rPr>
          <w:i/>
          <w:iCs/>
          <w:sz w:val="18"/>
          <w:szCs w:val="18"/>
          <w:lang w:val="en-GB"/>
        </w:rPr>
        <w:t xml:space="preserve">Critical liquidity </w:t>
      </w:r>
      <w:proofErr w:type="gramStart"/>
      <w:r w:rsidRPr="00DC17DE">
        <w:rPr>
          <w:i/>
          <w:iCs/>
          <w:sz w:val="18"/>
          <w:szCs w:val="18"/>
          <w:lang w:val="en-GB"/>
        </w:rPr>
        <w:t>ratio</w:t>
      </w:r>
      <w:proofErr w:type="gramEnd"/>
      <w:r w:rsidRPr="00DC17DE">
        <w:rPr>
          <w:i/>
          <w:iCs/>
          <w:sz w:val="18"/>
          <w:szCs w:val="18"/>
          <w:lang w:val="en-GB"/>
        </w:rPr>
        <w:t xml:space="preserve"> </w:t>
      </w:r>
      <w:r w:rsidRPr="00DC17DE">
        <w:rPr>
          <w:i/>
          <w:iCs/>
          <w:sz w:val="18"/>
          <w:szCs w:val="18"/>
          <w:lang w:val="en-GB" w:eastAsia="lt-LT"/>
        </w:rPr>
        <w:t>= (</w:t>
      </w:r>
      <w:r w:rsidRPr="00DC17DE">
        <w:rPr>
          <w:i/>
          <w:sz w:val="18"/>
          <w:szCs w:val="18"/>
          <w:lang w:val="en-GB" w:eastAsia="lt-LT"/>
        </w:rPr>
        <w:t xml:space="preserve">current assets – inventories) / </w:t>
      </w:r>
      <w:r w:rsidRPr="00DC17DE">
        <w:rPr>
          <w:i/>
          <w:iCs/>
          <w:sz w:val="18"/>
          <w:szCs w:val="18"/>
          <w:lang w:val="en-GB" w:eastAsia="lt-LT"/>
        </w:rPr>
        <w:t>current liabilities.</w:t>
      </w:r>
    </w:p>
    <w:p w14:paraId="1F6E0B92" w14:textId="77777777" w:rsidR="008D68AB" w:rsidRPr="00DC17DE" w:rsidRDefault="008D68AB" w:rsidP="008D68AB">
      <w:pPr>
        <w:rPr>
          <w:i/>
          <w:iCs/>
          <w:sz w:val="18"/>
          <w:szCs w:val="18"/>
          <w:lang w:val="en-GB"/>
        </w:rPr>
      </w:pPr>
      <w:r w:rsidRPr="00DC17DE">
        <w:rPr>
          <w:i/>
          <w:iCs/>
          <w:sz w:val="18"/>
          <w:szCs w:val="18"/>
          <w:vertAlign w:val="superscript"/>
          <w:lang w:val="en-GB" w:eastAsia="lt-LT"/>
        </w:rPr>
        <w:t xml:space="preserve">8 </w:t>
      </w:r>
      <w:r w:rsidRPr="00DC17DE">
        <w:rPr>
          <w:i/>
          <w:iCs/>
          <w:sz w:val="18"/>
          <w:szCs w:val="18"/>
          <w:lang w:val="en-GB"/>
        </w:rPr>
        <w:t>Equity ratio = equity capital / assets.</w:t>
      </w:r>
    </w:p>
    <w:p w14:paraId="5BBE959D" w14:textId="77777777" w:rsidR="008D68AB" w:rsidRPr="00DC17DE" w:rsidRDefault="008D68AB" w:rsidP="008D68AB">
      <w:pPr>
        <w:rPr>
          <w:i/>
          <w:iCs/>
          <w:sz w:val="18"/>
          <w:szCs w:val="18"/>
          <w:lang w:val="en-GB" w:eastAsia="lt-LT"/>
        </w:rPr>
      </w:pPr>
      <w:r w:rsidRPr="00DC17DE">
        <w:rPr>
          <w:rStyle w:val="Emfaz"/>
          <w:sz w:val="18"/>
          <w:szCs w:val="18"/>
          <w:vertAlign w:val="superscript"/>
          <w:lang w:val="en-GB"/>
        </w:rPr>
        <w:t>9</w:t>
      </w:r>
      <w:r>
        <w:rPr>
          <w:rStyle w:val="Emfaz"/>
          <w:sz w:val="18"/>
          <w:szCs w:val="18"/>
          <w:vertAlign w:val="superscript"/>
          <w:lang w:val="en-GB"/>
        </w:rPr>
        <w:t xml:space="preserve"> </w:t>
      </w:r>
      <w:r w:rsidRPr="00DC17DE">
        <w:rPr>
          <w:i/>
          <w:iCs/>
          <w:sz w:val="18"/>
          <w:szCs w:val="18"/>
          <w:lang w:val="en-GB" w:eastAsia="lt-LT"/>
        </w:rPr>
        <w:t>Debt ratio = liabilities / assets.</w:t>
      </w:r>
    </w:p>
    <w:p w14:paraId="397E7D01" w14:textId="77777777" w:rsidR="008D68AB" w:rsidRPr="00DC17DE" w:rsidRDefault="008D68AB" w:rsidP="008D68AB">
      <w:pPr>
        <w:rPr>
          <w:i/>
          <w:iCs/>
          <w:sz w:val="18"/>
          <w:szCs w:val="18"/>
          <w:lang w:val="en-GB"/>
        </w:rPr>
      </w:pPr>
      <w:r w:rsidRPr="00DC17DE">
        <w:rPr>
          <w:i/>
          <w:iCs/>
          <w:sz w:val="18"/>
          <w:szCs w:val="18"/>
          <w:vertAlign w:val="superscript"/>
          <w:lang w:val="en-GB" w:eastAsia="lt-LT"/>
        </w:rPr>
        <w:t xml:space="preserve">10 </w:t>
      </w:r>
      <w:r w:rsidRPr="00DC17DE">
        <w:rPr>
          <w:i/>
          <w:iCs/>
          <w:sz w:val="18"/>
          <w:szCs w:val="18"/>
          <w:lang w:val="en-GB" w:eastAsia="lt-LT"/>
        </w:rPr>
        <w:t>Debt to equity ratio = liabilities / equity.</w:t>
      </w:r>
    </w:p>
    <w:p w14:paraId="448E6874" w14:textId="77777777" w:rsidR="008D68AB" w:rsidRPr="00DC17DE" w:rsidRDefault="008D68AB" w:rsidP="008D68AB">
      <w:pPr>
        <w:rPr>
          <w:i/>
          <w:iCs/>
          <w:sz w:val="18"/>
          <w:szCs w:val="18"/>
          <w:lang w:val="en-GB"/>
        </w:rPr>
      </w:pPr>
      <w:r w:rsidRPr="00DC17DE">
        <w:rPr>
          <w:i/>
          <w:iCs/>
          <w:sz w:val="18"/>
          <w:szCs w:val="18"/>
          <w:vertAlign w:val="superscript"/>
          <w:lang w:val="en-GB" w:eastAsia="lt-LT"/>
        </w:rPr>
        <w:t xml:space="preserve">11 </w:t>
      </w:r>
      <w:r w:rsidRPr="00DC17DE">
        <w:rPr>
          <w:i/>
          <w:iCs/>
          <w:sz w:val="18"/>
          <w:szCs w:val="18"/>
          <w:lang w:val="en-GB"/>
        </w:rPr>
        <w:t>Book value per share = equity capital / number of shares.</w:t>
      </w:r>
    </w:p>
    <w:p w14:paraId="264A02DC" w14:textId="77777777" w:rsidR="008D68AB" w:rsidRPr="00DC17DE" w:rsidRDefault="008D68AB" w:rsidP="008D68AB">
      <w:pPr>
        <w:rPr>
          <w:i/>
          <w:iCs/>
          <w:sz w:val="18"/>
          <w:szCs w:val="18"/>
          <w:lang w:val="en-GB"/>
        </w:rPr>
      </w:pPr>
      <w:r w:rsidRPr="00DC17DE">
        <w:rPr>
          <w:i/>
          <w:iCs/>
          <w:sz w:val="18"/>
          <w:szCs w:val="18"/>
          <w:vertAlign w:val="superscript"/>
          <w:lang w:val="en-GB" w:eastAsia="lt-LT"/>
        </w:rPr>
        <w:t xml:space="preserve">12 </w:t>
      </w:r>
      <w:r w:rsidRPr="00DC17DE">
        <w:rPr>
          <w:i/>
          <w:iCs/>
          <w:sz w:val="18"/>
          <w:szCs w:val="18"/>
          <w:lang w:val="en-GB"/>
        </w:rPr>
        <w:t xml:space="preserve">Price-to-book </w:t>
      </w:r>
      <w:proofErr w:type="gramStart"/>
      <w:r w:rsidRPr="00DC17DE">
        <w:rPr>
          <w:i/>
          <w:iCs/>
          <w:sz w:val="18"/>
          <w:szCs w:val="18"/>
          <w:lang w:val="en-GB"/>
        </w:rPr>
        <w:t>ratio</w:t>
      </w:r>
      <w:proofErr w:type="gramEnd"/>
      <w:r w:rsidRPr="00DC17DE">
        <w:rPr>
          <w:i/>
          <w:iCs/>
          <w:sz w:val="18"/>
          <w:szCs w:val="18"/>
          <w:lang w:val="en-GB"/>
        </w:rPr>
        <w:t xml:space="preserve"> </w:t>
      </w:r>
      <w:r w:rsidRPr="00DC17DE">
        <w:rPr>
          <w:bCs/>
          <w:i/>
          <w:iCs/>
          <w:sz w:val="18"/>
          <w:szCs w:val="18"/>
          <w:lang w:val="en-GB"/>
        </w:rPr>
        <w:t>(P/B ratio)</w:t>
      </w:r>
      <w:r w:rsidRPr="00DC17DE">
        <w:rPr>
          <w:i/>
          <w:iCs/>
          <w:sz w:val="18"/>
          <w:szCs w:val="18"/>
          <w:lang w:val="en-GB" w:eastAsia="lt-LT"/>
        </w:rPr>
        <w:t xml:space="preserve"> </w:t>
      </w:r>
      <w:r w:rsidRPr="00DC17DE">
        <w:rPr>
          <w:i/>
          <w:iCs/>
          <w:sz w:val="18"/>
          <w:szCs w:val="18"/>
          <w:lang w:val="en-GB"/>
        </w:rPr>
        <w:t>= share price as of the end of reporting period / share book value.</w:t>
      </w:r>
    </w:p>
    <w:p w14:paraId="005C67CD" w14:textId="77777777" w:rsidR="008D68AB" w:rsidRPr="00DC17DE" w:rsidRDefault="008D68AB" w:rsidP="008D68AB">
      <w:pPr>
        <w:rPr>
          <w:i/>
          <w:sz w:val="18"/>
          <w:szCs w:val="18"/>
          <w:u w:val="single"/>
          <w:lang w:val="en-GB"/>
        </w:rPr>
      </w:pPr>
      <w:r w:rsidRPr="00DC17DE">
        <w:rPr>
          <w:i/>
          <w:iCs/>
          <w:sz w:val="18"/>
          <w:szCs w:val="18"/>
          <w:vertAlign w:val="superscript"/>
          <w:lang w:val="en-GB" w:eastAsia="lt-LT"/>
        </w:rPr>
        <w:t xml:space="preserve">13 </w:t>
      </w:r>
      <w:r w:rsidRPr="00DC17DE">
        <w:rPr>
          <w:i/>
          <w:iCs/>
          <w:sz w:val="18"/>
          <w:szCs w:val="18"/>
          <w:lang w:val="en-GB"/>
        </w:rPr>
        <w:t xml:space="preserve">Price-to-earnings ratio </w:t>
      </w:r>
      <w:r w:rsidRPr="00DC17DE">
        <w:rPr>
          <w:i/>
          <w:iCs/>
          <w:sz w:val="18"/>
          <w:szCs w:val="18"/>
          <w:lang w:val="en-GB" w:eastAsia="lt-LT"/>
        </w:rPr>
        <w:t xml:space="preserve">(P/E) = </w:t>
      </w:r>
      <w:r w:rsidRPr="00DC17DE">
        <w:rPr>
          <w:i/>
          <w:iCs/>
          <w:sz w:val="18"/>
          <w:szCs w:val="18"/>
          <w:lang w:val="en-GB"/>
        </w:rPr>
        <w:t xml:space="preserve">share price as of the end of reporting period </w:t>
      </w:r>
      <w:r w:rsidRPr="00DC17DE">
        <w:rPr>
          <w:i/>
          <w:iCs/>
          <w:sz w:val="18"/>
          <w:szCs w:val="18"/>
          <w:lang w:val="en-GB" w:eastAsia="lt-LT"/>
        </w:rPr>
        <w:t>/ net profit allocated for one share.</w:t>
      </w:r>
    </w:p>
    <w:p w14:paraId="7406C796" w14:textId="77777777" w:rsidR="00E96000" w:rsidRDefault="00E96000"/>
    <w:sectPr w:rsidR="00E9600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AB"/>
    <w:rsid w:val="008D68AB"/>
    <w:rsid w:val="00E96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ACF7"/>
  <w15:chartTrackingRefBased/>
  <w15:docId w15:val="{26281BB8-4198-42FB-92CC-F6B24F52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68AB"/>
    <w:pPr>
      <w:spacing w:after="0" w:line="240" w:lineRule="auto"/>
    </w:pPr>
    <w:rPr>
      <w:rFonts w:ascii="Times New Roman" w:eastAsia="Times New Roman" w:hAnsi="Times New Roman"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8D68AB"/>
    <w:rPr>
      <w:i/>
      <w:iCs/>
    </w:rPr>
  </w:style>
  <w:style w:type="paragraph" w:styleId="Betarp">
    <w:name w:val="No Spacing"/>
    <w:uiPriority w:val="1"/>
    <w:qFormat/>
    <w:rsid w:val="008D68AB"/>
    <w:pPr>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1719</Words>
  <Characters>980</Characters>
  <Application>Microsoft Office Word</Application>
  <DocSecurity>0</DocSecurity>
  <Lines>8</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Kairienė</dc:creator>
  <cp:keywords/>
  <dc:description/>
  <cp:lastModifiedBy>Rasa Kairienė</cp:lastModifiedBy>
  <cp:revision>1</cp:revision>
  <dcterms:created xsi:type="dcterms:W3CDTF">2023-04-28T06:24:00Z</dcterms:created>
  <dcterms:modified xsi:type="dcterms:W3CDTF">2023-04-28T06:26:00Z</dcterms:modified>
</cp:coreProperties>
</file>